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B6" w:rsidRPr="008E398A" w:rsidRDefault="00955DB6" w:rsidP="00955DB6">
      <w:pPr>
        <w:spacing w:before="120"/>
        <w:jc w:val="center"/>
        <w:rPr>
          <w:b/>
          <w:bCs/>
          <w:sz w:val="32"/>
          <w:szCs w:val="32"/>
        </w:rPr>
      </w:pPr>
      <w:r w:rsidRPr="008E398A">
        <w:rPr>
          <w:b/>
          <w:bCs/>
          <w:sz w:val="32"/>
          <w:szCs w:val="32"/>
        </w:rPr>
        <w:t>Реконструкция исторического центра</w:t>
      </w:r>
    </w:p>
    <w:p w:rsidR="00955DB6" w:rsidRPr="008E398A" w:rsidRDefault="00955DB6" w:rsidP="00955DB6">
      <w:pPr>
        <w:spacing w:before="120"/>
        <w:jc w:val="center"/>
        <w:rPr>
          <w:sz w:val="28"/>
          <w:szCs w:val="28"/>
        </w:rPr>
      </w:pPr>
      <w:r w:rsidRPr="008E398A">
        <w:rPr>
          <w:sz w:val="28"/>
          <w:szCs w:val="28"/>
        </w:rPr>
        <w:t xml:space="preserve">Б.В.Бодэ, начальник Проектной территориальной мастерской ЦАО 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Реализация Генерального плана Москвы в историческом центре включает в себя более детальную проектную разработку как на территориальном, так и на отраслевых уровнях. В этом направлении в 1999—2001 годы выполнены или находятся в стадии выполнения следующие градостроительные разработки:</w:t>
      </w:r>
    </w:p>
    <w:p w:rsidR="00955DB6" w:rsidRDefault="00955DB6" w:rsidP="00955DB6">
      <w:pPr>
        <w:spacing w:before="120"/>
        <w:ind w:firstLine="567"/>
        <w:jc w:val="both"/>
      </w:pPr>
      <w:r>
        <w:t xml:space="preserve"> </w:t>
      </w:r>
      <w:r w:rsidRPr="00B36C83">
        <w:t>— градостроительный план развития территории ЦАО (утвержден Правительством Москвы);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градостроительные планы развития территории районов ЦАО (по пяти районам выполнены, шестой — в стадии выполнения);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проекты планировок жилых, общественных и производственных территорий, градостроительные обоснования размещения отдельных объектов (в стадии поэтапных разработок);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сводная схема зон охраны памятников истории и культуры с установлением объединенных охранных зон и границ заповедных территорий (выполнена);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градостроительная инвентаризация ценных панорам и видов исторической части города (выполнена);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историко-градостроительные регламенты (выполняются поэтапно по районам ЦАО) в качестве специализированных разработок для составления детального общего градостроительного регламента в целом по центральной исторической части Москвы;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— программы развития по отдельным направлениям и отраслям хозяйства Центрального округа (по реставрации памятников истории и культуры, жилищному строительству, реорганизации производственных территорий, развитию территорий природного комплекса, гаражному строительству, развитию комплекса учреждений социальной сферы и потребительского рынка и другим направлениям).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Градостроительный план развития территории ЦАО входит в принятую на законодательном уровне единую систему документации о градостроительном планировании и является основой для разработки последующих стадий проектирования. Предполагается системное построение материалов — от анализов к рекомендациям — с учетом реализации задач предыдущей стадии проектирования и делегированием соответствующих заданий для последующих стадий: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общие требования и задачи развития ЦАО, вытекающие из материалов Генерального плана города;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анализ существующего положения, выявление проблем и диспропорций;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определение градостроительной стратегии, направленной на сбалансированное развитие округа и ликвидацию выявленных негативных процессов;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постановка первоочередных тактических задач по реализации принятой стратегической политики;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— определение требований и контрольных показателей для последующих стадий проектирования (проектов планировок, проектов застроек).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Общие требования и задачи развития центра отражены в статье 15 Закона Москвы «О Генеральном плане Москвы», предусматривающей преемственность градостроительного развития, сохранение историко-культурного наследия, оздоровление окружающей среды, формирование архитектурно-выраженной зоны общественных пространств, объединенных пешеходными системами, интенсивное использование подземного пространства, повышение комфорта жилых территорий, реконструкцию жилого фонда с ликвидацией ветхого жилья, новое жилищное строительство, реорганизацию производственных территорий, сохранение и развитие системы озеленения, природных ландшафтов, развитие социальной, транспортной и инженерной инфраструктур, отказ от применения типовых проектов.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Анализ существующего положения представлен в виде историко-градостроительной оценки территории и ряда пофакторных анализов по основным отраслевым направлениям. Историко-градостроительная оценка выявляет общий историко-культурный ресурс центральной зоны Москвы, памятники архитектуры и истории, сохранившиеся ценные элементы планировки и застройки, действующую систему зон охраны, рекомендуемые режимы допустимого реконструктивного вмешательства в историко-градостроительную типологию застройки (морфотипы). Выполнены пофакторные анализы по общественным, жилым, рекреационным, производственным территориям, а также по основным элементам инфраструктуры и экологической обстановке с выявлением как общеградостроительных, так и отраслевых проблем.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Нерешенность значительной части проблем (транспорт, экология и прочее) связана с невозможностью радикальной трансформации исторически сложившейся ценной планировочной структуры города, необходимостью сохранения исторической застройки, памятников истории и культуры. Центр в силу его полифункциональности, большой плотности и высокой градостроительной активности постоянно генерирует соответствующие градостроительные проблемы. Интегрированная оценка по результатам пофакторных анализов выявила как негативные, так и позитивные процессы развития округа.</w:t>
      </w:r>
      <w:r>
        <w:t xml:space="preserve"> 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Негативные процессы: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диспропорции функционального баланса, неразвитость общественных функций в периферийной части центра, падение доли жилья в пределах Садового кольца, низкие показатели обеспечения рекреационными территориями, высокая насыщенность производственными объектами;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возрастание степени транспортного дискомфорта, отставание в развитии транспортной инфраструктуры (91% транспортных узлов и 40% пересадочных станций метрополитена работают в режиме исчерпанной пропускной способности, обеспеченность гаражами и автостоянками — 15% от нормативной потребности);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неблагоприятная экологическая ситуация, высокий уровень загрязнения воздушного бассейна, активное шумовое воздействие, высокий уровень загрязнения почв, водных бассейнов Яузы и Москвы-реки;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отставание в ремонте жилого фонда (требуется реконструкция около 3 млн. м2 домов с деревянными перекрытиями), неудовлетворительный характер заселения (очередники — 9% населения, коммунальные квартиры — до 12% жилого фонда);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недостаточная обеспеченность населения объектами социальной сферы;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— медленные темпы реконструкции инженерных коммуникаций (изношенность подземных сетей достигает 30—40%).</w:t>
      </w:r>
    </w:p>
    <w:p w:rsidR="00955DB6" w:rsidRPr="00B36C83" w:rsidRDefault="00955DB6" w:rsidP="00955DB6">
      <w:pPr>
        <w:spacing w:before="120"/>
        <w:ind w:firstLine="567"/>
        <w:jc w:val="both"/>
      </w:pPr>
      <w:r>
        <w:t xml:space="preserve"> </w:t>
      </w:r>
      <w:r w:rsidRPr="00B36C83">
        <w:t>Действию негативных процессов противостоят экономические, правовые и административные механизмы градостроительного управления и регулирования. Позитивные процессы: повышение качества строительства, применение новых строительных технологий и материалов, повышение эффективности использования земли, устойчивая тенденция самореформирования производственных предприятий, саморегулирование в сфере потребительского рынка, повышение темпов строительства и реконструкции. Имеющиеся градостроительные ресурсы территории, высокая коммерческая стоимость земли, хорошая транспортная доступность, богатые ландшафтные качества, высочайший ресурс использования историко-культурного наследия, памятников истории и культуры для развития туризма — все это в совокупности создает предпосылки для устойчивого градостроительного преобразования территории центра.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Основные положения градостроительного развития центральной части Москвы ориентированы на обеспечение нормальной жизнедеятельности человека, его экологической безопасности и комфорта с приоритетом сохранения ценной исторической среды, памятников истории и культуры. Стратегия градостроительного развития исключает возможность решения проблем путем значительных морфологических преобразований, в связи с чем направлена на ликвидацию источников их возникновения или поиск компромиссов.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Основные положения градостроительного развития ЦАО включают следующие позиции: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функциональная разгрузка центра за счет перераспределения нагрузок и дополнительного функционального насыщения срединной части города и его периферийных направлений;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ориентация на функциональную сбалансированность развития центра, направленная на повышение градостроительного комфорта населения, уменьшение доли офисно-административного фонда, производственных территорий с 10,1 до 5,6%, увеличение доли общественных территорий с 20 до 25%, жилых — с 28 до 30%, рекреационных — с 9 до 10%, значительное сокращение территорий железнодорожных хозяйств;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повышение историко-архитектурного потенциала, сохранение характерной образности и своеобразия, повышение темпов, улучшение качества реставрационных и реконструктивных работ, формирование принципиально нового подхода к использованию историко-культурного наследия в сфере туризма;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совершенствование планировочной и архитектурно-пространственной организации территории: дополнительная пробивка магистралей на Краснопресненском проспекте, Звенигородском шоссе, Краснопресненской и Шелепихинской набережных; формирование новых узлов и площадей (Спартаковская площадь, узел на примыкании Долгоруковской улицы к Садовому кольцу и прочее);</w:t>
      </w:r>
      <w:r>
        <w:t xml:space="preserve"> 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структурное деление кварталов, реабилитация местной уличной сети, обеспечение завершенности основных узлов, магистралей и площадей;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регенерация исторической застройки, восстановление масштаба и пространственного строя улиц, прежде всего в заповедных территориях (Замоскворечье, Остоженка—Пречистенка, Арбат, Большая и Малая Никитская, Петровка—Неглинка—Трубная, Сретенка, Мясницкая—Маросейка, Покровка, Воронцово поле, Варварка—Солянка и так далее), а также за пределами Садового кольца (районы улиц Воронцовской, Мещанских, Троицкой, Большой и Малой Алексеевских, Зацепы, улицы Щипок, Стремянного, Нововаганьковского и Дровяных переулков);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формирование гармонически уравновешенной системы пространственной ориентации, архитектурных акцентов и доминант, подчеркивающей особенности ландшафта и планировки города, размещение новых высотных акцентов в периферийной его части (площади Савеловского вокзала, Рижской, Спартаковской, Рогожской застав, площадей Гагарина и 1905 года, комплекса Московского Сити, будущего городского центра на Звенигородском шоссе);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развитие общественных территорий и пространств в системе центра, сокращение существующего фонда и ограничение нового строительства зданий административно-делового назначения в пределах Садового кольца, перенос активных деловых функций на периферию ЦАО;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развитие жилых территорий, увеличение жилого фонда (с 15,5 до 18,5 млн. м2 на перспективу), выполнение программы реконструкции и капитального ремонта (3 млн. м2), модернизация жилых зданий периода индустриального строительства (2,1 млн. м2), новое жилищное строительство (около 3,5 млн. м2), в том числе за счет освоения производственных территорий, площадок жилищного строительства в смежных округах (до 1 млн. м2 для расселения очередников и жителей коммунальных квартир);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сохранение и развитие элементов природного комплекса (691 объект), увеличение озелененных территорий (с 621 до 670 га), сохранение и поддержание ценного дворового озеленения (625 га);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существенное уменьшение доли производственных территорий (с 10,1 до 5,6%) — ликвидация, вывод и перебазирование более 300 крупных и средних объектов с освобождением от производственных функций около 300 га территории, реформирование 40 производственных объектов, модернизация предприятий на сохраняемых производственных площадках с обеспечением экологической безопасности;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развитие социальной инфраструктуры, рост учреждений культуры в 2,3, потребительского рынка — в 1,5, гостиничного фонда — в 2,5 раза, обеспечение населения жилых кварталов и микрорайонов учреждениями обслуживания гарантированного уровня — школами и детскими учреждениями (с 462,7 тыс. до 1,2 млн. м2), поликлиниками (с 200 до 260 тыс. м2) и др.;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развитие туризма и туристического обслуживания, выделение туристско-рекреационных зон («Золотое кольцо Москвы» с включением кремлевского ансамбля и Китай-города и прочих);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ликвидация кризисного отставания в развитии транспортной инфраструктуры, ускоренная и приоритетная реализация программы транспортного строительства, ликвидация существующих и ограничение строительства новых транспортноемких объектов: строительство кольцевой городской магистрали, транспортных развязок, перехватывающих автостоянок, подземных пешеходных переходов, развитие скоростного внеуличного транспорта, строительство линий метрополитена, новых станций на действующих линиях, новых входов на действующих станциях, мини-метро и СТС «Шереметьево-Сити», организация пассажирского движения по Малому кольцу МЖД и др.;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развитие инженерной инфраструктуры в соответствии с принятой отраслевой программой;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— оптимизация сложившейся экологической обстановки: снижение объемов выбросов в атмосферу на 40%, осуществление шумозащитных мероприятий, снижение площади зон шумового дискомфорта в 2 раза, увеличение уровня озелененности дворовых территорий до 25—35%, вывод экологоопасных предприятий (РТИ «Каучук», АО «Тиум», автокомбината 32, ТЭЦ-7), уменьшение территорий с высоким уровнем загрязнения почв, строительство очистных сооружений.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Утверждаемой частью работы градостроительного плана являются технико-экономические показатели развития округа, градостроительные регламенты и первоочередные мероприятия по реализации проекта. В схемах функционального, строительного и ландшафтного зонирования закреплены основные характеристики проектного решения.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Первоочередные градостроительные мероприятия на 2001—2005 годы включают весь комплекс территориальных и отраслевых направлений. Они разработаны на основе: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пофакторных анализов и комплексной оценки существующего положения (выявлены наиболее острые диспропорции и негативные процессы, требующие незамедлительного решения);</w:t>
      </w:r>
    </w:p>
    <w:p w:rsidR="00955DB6" w:rsidRDefault="00955DB6" w:rsidP="00955DB6">
      <w:pPr>
        <w:spacing w:before="120"/>
        <w:ind w:firstLine="567"/>
        <w:jc w:val="both"/>
      </w:pPr>
      <w:r w:rsidRPr="00B36C83">
        <w:t>— плана градостроительного развития округа на перспективу (выбраны мероприятия, дающие наибольший градостроительный эффект);</w:t>
      </w:r>
    </w:p>
    <w:p w:rsidR="00955DB6" w:rsidRPr="00B36C83" w:rsidRDefault="00955DB6" w:rsidP="00955DB6">
      <w:pPr>
        <w:spacing w:before="120"/>
        <w:ind w:firstLine="567"/>
        <w:jc w:val="both"/>
      </w:pPr>
      <w:r w:rsidRPr="00B36C83">
        <w:t>— материалов проекта размещения жилищного, культурно-бытового, коммунального и других видов строительства на пять лет (постановление Правительства Москвы № 700 от 27.07.99 г. и другие директивные документы).</w:t>
      </w:r>
    </w:p>
    <w:p w:rsidR="00955DB6" w:rsidRDefault="00955DB6" w:rsidP="00955DB6">
      <w:pPr>
        <w:spacing w:before="120"/>
        <w:ind w:firstLine="567"/>
        <w:jc w:val="both"/>
      </w:pPr>
      <w:r w:rsidRPr="00B36C83">
        <w:t xml:space="preserve">Градостроительный план развития ЦАО является заданием на разработку следующих стадий — градостроительных планов развития районов. В связи с этим в составе градплана округа выделены ведущие показатели с разбивкой их по районам в качестве контрольных исходных данных при проектировании градпланов районов.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DB6"/>
    <w:rsid w:val="00095BA6"/>
    <w:rsid w:val="000A3BFE"/>
    <w:rsid w:val="0031418A"/>
    <w:rsid w:val="005A2562"/>
    <w:rsid w:val="008E398A"/>
    <w:rsid w:val="00955DB6"/>
    <w:rsid w:val="009A0560"/>
    <w:rsid w:val="00A44D32"/>
    <w:rsid w:val="00B36C8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587B07-9731-484D-A0B4-E8C0ABAD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B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11584</Characters>
  <Application>Microsoft Office Word</Application>
  <DocSecurity>0</DocSecurity>
  <Lines>96</Lines>
  <Paragraphs>27</Paragraphs>
  <ScaleCrop>false</ScaleCrop>
  <Company>Home</Company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Реконструкция исторического центра</dc:title>
  <dc:subject/>
  <dc:creator>Alena</dc:creator>
  <cp:keywords/>
  <dc:description/>
  <cp:lastModifiedBy>admin</cp:lastModifiedBy>
  <cp:revision>2</cp:revision>
  <dcterms:created xsi:type="dcterms:W3CDTF">2014-02-18T05:52:00Z</dcterms:created>
  <dcterms:modified xsi:type="dcterms:W3CDTF">2014-02-18T05:52:00Z</dcterms:modified>
</cp:coreProperties>
</file>