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2F1" w:rsidRPr="000A62F1" w:rsidRDefault="000A62F1" w:rsidP="000A62F1">
      <w:pPr>
        <w:spacing w:before="120"/>
        <w:jc w:val="center"/>
        <w:rPr>
          <w:b/>
          <w:bCs/>
          <w:sz w:val="32"/>
          <w:szCs w:val="32"/>
        </w:rPr>
      </w:pPr>
      <w:bookmarkStart w:id="0" w:name="8_6"/>
      <w:bookmarkEnd w:id="0"/>
      <w:r w:rsidRPr="000A62F1">
        <w:rPr>
          <w:b/>
          <w:bCs/>
          <w:sz w:val="32"/>
          <w:szCs w:val="32"/>
        </w:rPr>
        <w:t xml:space="preserve">Санитарная охрана водозаборов </w:t>
      </w:r>
    </w:p>
    <w:p w:rsidR="000A62F1" w:rsidRPr="000A62F1" w:rsidRDefault="000A62F1" w:rsidP="000A62F1">
      <w:pPr>
        <w:spacing w:before="120"/>
        <w:ind w:firstLine="567"/>
        <w:jc w:val="both"/>
        <w:rPr>
          <w:sz w:val="28"/>
          <w:szCs w:val="28"/>
        </w:rPr>
      </w:pPr>
      <w:r w:rsidRPr="000A62F1">
        <w:rPr>
          <w:sz w:val="28"/>
          <w:szCs w:val="28"/>
        </w:rPr>
        <w:t>Р.С.Шенгелов</w:t>
      </w:r>
    </w:p>
    <w:p w:rsidR="000A62F1" w:rsidRPr="000A62F1" w:rsidRDefault="000A62F1" w:rsidP="000A62F1">
      <w:pPr>
        <w:spacing w:before="120"/>
        <w:ind w:firstLine="567"/>
        <w:jc w:val="both"/>
      </w:pPr>
      <w:r w:rsidRPr="000A62F1">
        <w:t xml:space="preserve">Важнейший аспект сохранения качества воды при длительной эксплуатации водозаборов. Принципы и система санитарной охраны водозаборов регулируется государством - в форме законодательных актов, нормативных документов и инструктивных материалов, а также контроля независимых государственных инспекций. </w:t>
      </w:r>
    </w:p>
    <w:p w:rsidR="000A62F1" w:rsidRPr="000A62F1" w:rsidRDefault="000A62F1" w:rsidP="000A62F1">
      <w:pPr>
        <w:spacing w:before="120"/>
        <w:ind w:firstLine="567"/>
        <w:jc w:val="both"/>
      </w:pPr>
      <w:r w:rsidRPr="000A62F1">
        <w:t xml:space="preserve">Цель санитарно-охранных мероприятий, проводящихся как до начала, так и в процессе эксплуатации: </w:t>
      </w:r>
    </w:p>
    <w:p w:rsidR="000A62F1" w:rsidRPr="000A62F1" w:rsidRDefault="000A62F1" w:rsidP="000A62F1">
      <w:pPr>
        <w:spacing w:before="120"/>
        <w:ind w:firstLine="567"/>
        <w:jc w:val="both"/>
      </w:pPr>
      <w:r w:rsidRPr="000A62F1">
        <w:t>- ограничение или ликвидация имеющихся потенциальных источников загрязнений;</w:t>
      </w:r>
    </w:p>
    <w:p w:rsidR="000A62F1" w:rsidRPr="000A62F1" w:rsidRDefault="000A62F1" w:rsidP="000A62F1">
      <w:pPr>
        <w:spacing w:before="120"/>
        <w:ind w:firstLine="567"/>
        <w:jc w:val="both"/>
      </w:pPr>
      <w:r w:rsidRPr="000A62F1">
        <w:t xml:space="preserve">- устранение возможности возникновения новых. </w:t>
      </w:r>
    </w:p>
    <w:p w:rsidR="000A62F1" w:rsidRPr="000A62F1" w:rsidRDefault="000A62F1" w:rsidP="000A62F1">
      <w:pPr>
        <w:spacing w:before="120"/>
        <w:ind w:firstLine="567"/>
        <w:jc w:val="both"/>
      </w:pPr>
      <w:r w:rsidRPr="000A62F1">
        <w:t>Состав этих мероприятий формируется при утверждении ЭЗ месторождения и может включать:</w:t>
      </w:r>
    </w:p>
    <w:p w:rsidR="000A62F1" w:rsidRPr="000A62F1" w:rsidRDefault="000A62F1" w:rsidP="000A62F1">
      <w:pPr>
        <w:spacing w:before="120"/>
        <w:ind w:firstLine="567"/>
        <w:jc w:val="both"/>
      </w:pPr>
      <w:r w:rsidRPr="000A62F1">
        <w:t>а) контроль (через механизм лицензирования) всех видов разведки и эксплуатации недр (горные разработки, захоронение стоков через скважины...),</w:t>
      </w:r>
    </w:p>
    <w:p w:rsidR="000A62F1" w:rsidRPr="000A62F1" w:rsidRDefault="000A62F1" w:rsidP="000A62F1">
      <w:pPr>
        <w:spacing w:before="120"/>
        <w:ind w:firstLine="567"/>
        <w:jc w:val="both"/>
      </w:pPr>
      <w:r w:rsidRPr="000A62F1">
        <w:t>б) ликвидация дефектных и бездействующих скважин и горных выработок,</w:t>
      </w:r>
    </w:p>
    <w:p w:rsidR="000A62F1" w:rsidRPr="000A62F1" w:rsidRDefault="000A62F1" w:rsidP="000A62F1">
      <w:pPr>
        <w:spacing w:before="120"/>
        <w:ind w:firstLine="567"/>
        <w:jc w:val="both"/>
      </w:pPr>
      <w:r w:rsidRPr="000A62F1">
        <w:t>в) контроль технологии всех действующих промышленных предприятий (утечки из технологических коммуникаций и емкостей, аварийные сбросы, захоронение промстоков и пр.); контроль агротехнологий (минеральные и органические удобрения, пестициды...), контроль лесоохранных мероприятий (ядохимикаты),</w:t>
      </w:r>
    </w:p>
    <w:p w:rsidR="000A62F1" w:rsidRPr="000A62F1" w:rsidRDefault="000A62F1" w:rsidP="000A62F1">
      <w:pPr>
        <w:spacing w:before="120"/>
        <w:ind w:firstLine="567"/>
        <w:jc w:val="both"/>
      </w:pPr>
      <w:r w:rsidRPr="000A62F1">
        <w:t>г) запрет строительства промышленных испарителей, отстойников, хвосто- и шламохранилищ, гидрозолоотвалов...,</w:t>
      </w:r>
    </w:p>
    <w:p w:rsidR="000A62F1" w:rsidRPr="000A62F1" w:rsidRDefault="000A62F1" w:rsidP="000A62F1">
      <w:pPr>
        <w:spacing w:before="120"/>
        <w:ind w:firstLine="567"/>
        <w:jc w:val="both"/>
      </w:pPr>
      <w:r w:rsidRPr="000A62F1">
        <w:t>д) ограничение создания новых населенных пунктов, сельхозферм,</w:t>
      </w:r>
    </w:p>
    <w:p w:rsidR="000A62F1" w:rsidRPr="000A62F1" w:rsidRDefault="000A62F1" w:rsidP="000A62F1">
      <w:pPr>
        <w:spacing w:before="120"/>
        <w:ind w:firstLine="567"/>
        <w:jc w:val="both"/>
      </w:pPr>
      <w:r w:rsidRPr="000A62F1">
        <w:t>е) ликвидация старых и запрет на создание новых захоронений (кладбищ, скотомогильников),</w:t>
      </w:r>
    </w:p>
    <w:p w:rsidR="000A62F1" w:rsidRPr="000A62F1" w:rsidRDefault="000A62F1" w:rsidP="000A62F1">
      <w:pPr>
        <w:spacing w:before="120"/>
        <w:ind w:firstLine="567"/>
        <w:jc w:val="both"/>
      </w:pPr>
      <w:r w:rsidRPr="000A62F1">
        <w:t>ж) упорядочение водоснабжения и водоотведения (канализации),</w:t>
      </w:r>
    </w:p>
    <w:p w:rsidR="000A62F1" w:rsidRPr="000A62F1" w:rsidRDefault="000A62F1" w:rsidP="000A62F1">
      <w:pPr>
        <w:spacing w:before="120"/>
        <w:ind w:firstLine="567"/>
        <w:jc w:val="both"/>
      </w:pPr>
      <w:r w:rsidRPr="000A62F1">
        <w:t xml:space="preserve">з) ... и многое другое в соответствии с местными условиями и особенностями. </w:t>
      </w:r>
    </w:p>
    <w:p w:rsidR="000A62F1" w:rsidRPr="000A62F1" w:rsidRDefault="000A62F1" w:rsidP="000A62F1">
      <w:pPr>
        <w:spacing w:before="120"/>
        <w:ind w:firstLine="567"/>
        <w:jc w:val="both"/>
      </w:pPr>
      <w:r w:rsidRPr="000A62F1">
        <w:t xml:space="preserve">Эти мероприятия локализуются в так называемой ЗОНЕ САНИТАРНОЙ ОХРАНЫ (ЗСО). Ее размеры и положение на местности утверждаются одновременно с подсчетом ЭЗ и расчетом качества воды. ЗСО делится на пояса (в разных странах по-разному: в России - три пояса). </w:t>
      </w:r>
    </w:p>
    <w:p w:rsidR="000A62F1" w:rsidRPr="000A62F1" w:rsidRDefault="000A62F1" w:rsidP="000A62F1">
      <w:pPr>
        <w:spacing w:before="120"/>
        <w:ind w:firstLine="567"/>
        <w:jc w:val="both"/>
      </w:pPr>
      <w:r w:rsidRPr="000A62F1">
        <w:t xml:space="preserve">I пояс "строгого режима" (внутренний): 30-50 м вокруг станций I подъема - для предотвращения случайного или умышленного загрязнения непосредственно через водозахватные устройства. Охраняется; земля отчуждается; внутри пояса строгого режима часто создается искусственное покрытие (гравийно-галечное, асфальт). Гидрогеологическое обоснование практически не требуется. </w:t>
      </w:r>
    </w:p>
    <w:p w:rsidR="000A62F1" w:rsidRPr="000A62F1" w:rsidRDefault="000A62F1" w:rsidP="000A62F1">
      <w:pPr>
        <w:spacing w:before="120"/>
        <w:ind w:firstLine="567"/>
        <w:jc w:val="both"/>
      </w:pPr>
      <w:r w:rsidRPr="000A62F1">
        <w:t>Размеры II и III поясов определяются гидродинамическим и миграционным расчетом. Их назначение:</w:t>
      </w:r>
    </w:p>
    <w:p w:rsidR="000A62F1" w:rsidRPr="000A62F1" w:rsidRDefault="000A62F1" w:rsidP="000A62F1">
      <w:pPr>
        <w:spacing w:before="120"/>
        <w:ind w:firstLine="567"/>
        <w:jc w:val="both"/>
      </w:pPr>
      <w:r w:rsidRPr="000A62F1">
        <w:t>II пояс - охрана от бактериальных (микробных) загрязнений,</w:t>
      </w:r>
    </w:p>
    <w:p w:rsidR="000A62F1" w:rsidRPr="000A62F1" w:rsidRDefault="000A62F1" w:rsidP="000A62F1">
      <w:pPr>
        <w:spacing w:before="120"/>
        <w:ind w:firstLine="567"/>
        <w:jc w:val="both"/>
      </w:pPr>
      <w:r w:rsidRPr="000A62F1">
        <w:t xml:space="preserve">III пояс - охрана от химических загрязнений. </w:t>
      </w:r>
    </w:p>
    <w:p w:rsidR="000A62F1" w:rsidRPr="000A62F1" w:rsidRDefault="000A62F1" w:rsidP="000A62F1">
      <w:pPr>
        <w:spacing w:before="120"/>
        <w:ind w:firstLine="567"/>
        <w:jc w:val="both"/>
      </w:pPr>
      <w:r w:rsidRPr="000A62F1">
        <w:t>Основной принцип расчета размеров II/III поясов: граница каждого пояса - это изохрона, т.е. совокупность точек, из которых загрязнение достигает водозабора через заданный расчетный промежуток времени. Разница II и III поясов - как раз в величине этого расчетного промежутка времени.</w:t>
      </w:r>
    </w:p>
    <w:p w:rsidR="000A62F1" w:rsidRPr="000A62F1" w:rsidRDefault="000A62F1" w:rsidP="000A62F1">
      <w:pPr>
        <w:spacing w:before="120"/>
        <w:ind w:firstLine="567"/>
        <w:jc w:val="both"/>
      </w:pPr>
      <w:r w:rsidRPr="000A62F1">
        <w:t>II пояс рассчитывается по сроку выживания болезнетворных бактерий в подземных водах: для расчетного времени 100, 200, 400 суток (в зависимости от климатической зоны и "массивности" микробного загрязнения)</w:t>
      </w:r>
    </w:p>
    <w:p w:rsidR="000A62F1" w:rsidRPr="000A62F1" w:rsidRDefault="000A62F1" w:rsidP="000A62F1">
      <w:pPr>
        <w:spacing w:before="120"/>
        <w:ind w:firstLine="567"/>
        <w:jc w:val="both"/>
      </w:pPr>
      <w:r w:rsidRPr="000A62F1">
        <w:t>III пояс: для миграции химических загрязнителей принимается полный расчетный срок эксплуатации, обычно 10</w:t>
      </w:r>
      <w:r w:rsidRPr="000A62F1">
        <w:rPr>
          <w:vertAlign w:val="superscript"/>
        </w:rPr>
        <w:t>4</w:t>
      </w:r>
      <w:r w:rsidRPr="000A62F1">
        <w:t xml:space="preserve"> суток.  </w:t>
      </w:r>
    </w:p>
    <w:p w:rsidR="000A62F1" w:rsidRPr="000A62F1" w:rsidRDefault="000A62F1" w:rsidP="000A62F1">
      <w:pPr>
        <w:spacing w:before="120"/>
        <w:ind w:firstLine="567"/>
        <w:jc w:val="both"/>
      </w:pPr>
      <w:r w:rsidRPr="000A62F1">
        <w:t xml:space="preserve">Для грунтовых водоносных горизонтов из этих нормативных величин расчетного времени следует вычесть время </w:t>
      </w:r>
      <w:r w:rsidR="0030227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pt">
            <v:imagedata r:id="rId5" o:title=""/>
          </v:shape>
        </w:pict>
      </w:r>
      <w:r w:rsidRPr="000A62F1">
        <w:t xml:space="preserve">, необходимое для продвижения загрязнения через зону аэрации мощностью </w:t>
      </w:r>
      <w:r w:rsidR="00302278">
        <w:pict>
          <v:shape id="_x0000_i1026" type="#_x0000_t75" style="width:14.25pt;height:7.5pt">
            <v:imagedata r:id="rId6" o:title=""/>
          </v:shape>
        </w:pict>
      </w:r>
      <w:r w:rsidRPr="000A62F1">
        <w:t xml:space="preserve"> с коэффициентом фильтрации </w:t>
      </w:r>
      <w:r w:rsidR="00302278">
        <w:pict>
          <v:shape id="_x0000_i1027" type="#_x0000_t75" style="width:14.25pt;height:10.5pt">
            <v:imagedata r:id="rId7" o:title=""/>
          </v:shape>
        </w:pict>
      </w:r>
      <w:r w:rsidRPr="000A62F1">
        <w:t xml:space="preserve"> и активной (эффективной) пористостью </w:t>
      </w:r>
      <w:r w:rsidR="00302278">
        <w:pict>
          <v:shape id="_x0000_i1028" type="#_x0000_t75" style="width:11.25pt;height:7.5pt">
            <v:imagedata r:id="rId8" o:title=""/>
          </v:shape>
        </w:pict>
      </w:r>
      <w:r w:rsidRPr="000A62F1">
        <w:t>:</w:t>
      </w:r>
    </w:p>
    <w:p w:rsidR="000A62F1" w:rsidRPr="000A62F1" w:rsidRDefault="000A62F1" w:rsidP="000A62F1">
      <w:pPr>
        <w:spacing w:before="120"/>
        <w:ind w:firstLine="567"/>
        <w:jc w:val="both"/>
      </w:pPr>
      <w:r w:rsidRPr="000A62F1">
        <w:t>а) при незначительных величинах инфильтрации (</w:t>
      </w:r>
      <w:r w:rsidR="00302278">
        <w:pict>
          <v:shape id="_x0000_i1029" type="#_x0000_t75" style="width:36pt;height:10.5pt">
            <v:imagedata r:id="rId9" o:title=""/>
          </v:shape>
        </w:pict>
      </w:r>
      <w:r w:rsidRPr="000A62F1">
        <w:t>) :</w:t>
      </w:r>
    </w:p>
    <w:p w:rsidR="000A62F1" w:rsidRPr="000A62F1" w:rsidRDefault="00302278" w:rsidP="000A62F1">
      <w:pPr>
        <w:spacing w:before="120"/>
        <w:ind w:firstLine="567"/>
        <w:jc w:val="both"/>
      </w:pPr>
      <w:r>
        <w:pict>
          <v:shape id="_x0000_i1030" type="#_x0000_t75" style="width:66.75pt;height:30pt">
            <v:imagedata r:id="rId10" o:title=""/>
          </v:shape>
        </w:pict>
      </w:r>
      <w:r w:rsidR="000A62F1" w:rsidRPr="000A62F1">
        <w:t>;</w:t>
      </w:r>
    </w:p>
    <w:p w:rsidR="000A62F1" w:rsidRPr="000A62F1" w:rsidRDefault="000A62F1" w:rsidP="000A62F1">
      <w:pPr>
        <w:spacing w:before="120"/>
        <w:ind w:firstLine="567"/>
        <w:jc w:val="both"/>
      </w:pPr>
      <w:r w:rsidRPr="000A62F1">
        <w:t xml:space="preserve">б) при просачивании с полным насыщением пор (интенсивная инфильтрация, утечки и т.п., </w:t>
      </w:r>
      <w:r w:rsidR="00302278">
        <w:pict>
          <v:shape id="_x0000_i1031" type="#_x0000_t75" style="width:36pt;height:10.5pt">
            <v:imagedata r:id="rId11" o:title=""/>
          </v:shape>
        </w:pict>
      </w:r>
      <w:r w:rsidRPr="000A62F1">
        <w:t>) :</w:t>
      </w:r>
    </w:p>
    <w:p w:rsidR="000A62F1" w:rsidRPr="000A62F1" w:rsidRDefault="00302278" w:rsidP="000A62F1">
      <w:pPr>
        <w:spacing w:before="120"/>
        <w:ind w:firstLine="567"/>
        <w:jc w:val="both"/>
      </w:pPr>
      <w:r>
        <w:pict>
          <v:shape id="_x0000_i1032" type="#_x0000_t75" style="width:56.25pt;height:25.5pt">
            <v:imagedata r:id="rId12" o:title=""/>
          </v:shape>
        </w:pict>
      </w:r>
    </w:p>
    <w:p w:rsidR="000A62F1" w:rsidRPr="000A62F1" w:rsidRDefault="000A62F1" w:rsidP="000A62F1">
      <w:pPr>
        <w:spacing w:before="120"/>
        <w:ind w:firstLine="567"/>
        <w:jc w:val="both"/>
      </w:pPr>
      <w:r w:rsidRPr="000A62F1">
        <w:t xml:space="preserve">К примеру, при величине естественной инфильтрации </w:t>
      </w:r>
      <w:r w:rsidR="00302278">
        <w:pict>
          <v:shape id="_x0000_i1033" type="#_x0000_t75" style="width:9pt;height:7.5pt">
            <v:imagedata r:id="rId13" o:title=""/>
          </v:shape>
        </w:pict>
      </w:r>
      <w:r w:rsidRPr="000A62F1">
        <w:t>= 50 мм/год ≈ 1.4×10</w:t>
      </w:r>
      <w:r w:rsidRPr="000A62F1">
        <w:rPr>
          <w:vertAlign w:val="superscript"/>
        </w:rPr>
        <w:t>-4</w:t>
      </w:r>
      <w:r w:rsidRPr="000A62F1">
        <w:t xml:space="preserve"> м/сут (Подмосковье) время движения через супесчано-суглинистую зону аэрации мощностью 5 м (</w:t>
      </w:r>
      <w:r w:rsidR="00302278">
        <w:pict>
          <v:shape id="_x0000_i1034" type="#_x0000_t75" style="width:14.25pt;height:10.5pt">
            <v:imagedata r:id="rId7" o:title=""/>
          </v:shape>
        </w:pict>
      </w:r>
      <w:r w:rsidRPr="000A62F1">
        <w:t xml:space="preserve">= 0.05 м/сут, </w:t>
      </w:r>
      <w:r w:rsidR="00302278">
        <w:pict>
          <v:shape id="_x0000_i1035" type="#_x0000_t75" style="width:11.25pt;height:7.5pt">
            <v:imagedata r:id="rId8" o:title=""/>
          </v:shape>
        </w:pict>
      </w:r>
      <w:r w:rsidRPr="000A62F1">
        <w:t xml:space="preserve">= 0.03 ) составит около 150 суток, что позволяет весьма заметно сократить размер "антибактериального" пояса II. Однако, при интенсивной инфильтрации это время становится практически ничтожным. </w:t>
      </w:r>
    </w:p>
    <w:p w:rsidR="000A62F1" w:rsidRPr="000A62F1" w:rsidRDefault="000A62F1" w:rsidP="000A62F1">
      <w:pPr>
        <w:spacing w:before="120"/>
        <w:ind w:firstLine="567"/>
        <w:jc w:val="both"/>
      </w:pPr>
      <w:r w:rsidRPr="000A62F1">
        <w:t>При проектировании ЗСО для межпластовых водоносных горизонтов учитывается время миграции загрязнения через перекрывающие разделяющие слои (например, из вышезалегающего грунтового горизонта):</w:t>
      </w:r>
    </w:p>
    <w:p w:rsidR="000A62F1" w:rsidRPr="000A62F1" w:rsidRDefault="00302278" w:rsidP="000A62F1">
      <w:pPr>
        <w:spacing w:before="120"/>
        <w:ind w:firstLine="567"/>
        <w:jc w:val="both"/>
      </w:pPr>
      <w:r>
        <w:pict>
          <v:shape id="_x0000_i1036" type="#_x0000_t75" style="width:61.5pt;height:31.5pt">
            <v:imagedata r:id="rId14" o:title=""/>
          </v:shape>
        </w:pict>
      </w:r>
    </w:p>
    <w:p w:rsidR="000A62F1" w:rsidRPr="000A62F1" w:rsidRDefault="000A62F1" w:rsidP="000A62F1">
      <w:pPr>
        <w:spacing w:before="120"/>
        <w:ind w:firstLine="567"/>
        <w:jc w:val="both"/>
      </w:pPr>
      <w:r w:rsidRPr="000A62F1">
        <w:t xml:space="preserve">где </w:t>
      </w:r>
      <w:r w:rsidR="00302278">
        <w:pict>
          <v:shape id="_x0000_i1037" type="#_x0000_t75" style="width:16.5pt;height:8.25pt">
            <v:imagedata r:id="rId15" o:title=""/>
          </v:shape>
        </w:pict>
      </w:r>
      <w:r w:rsidRPr="000A62F1">
        <w:t xml:space="preserve">- разность напоров между горизонтами. </w:t>
      </w:r>
    </w:p>
    <w:p w:rsidR="000A62F1" w:rsidRPr="000A62F1" w:rsidRDefault="000A62F1" w:rsidP="000A62F1">
      <w:pPr>
        <w:spacing w:before="120"/>
        <w:ind w:firstLine="567"/>
        <w:jc w:val="both"/>
      </w:pPr>
      <w:r w:rsidRPr="000A62F1">
        <w:t>Часто это время оказывается весьма значительным, что позволяет считать межпластовый горизонт защищенным от загрязнения с поверхности земли в течение расчетного срока его эксплуатации.</w:t>
      </w:r>
    </w:p>
    <w:p w:rsidR="000A62F1" w:rsidRPr="000A62F1" w:rsidRDefault="000A62F1" w:rsidP="000A62F1">
      <w:pPr>
        <w:spacing w:before="120"/>
        <w:jc w:val="center"/>
        <w:rPr>
          <w:b/>
          <w:bCs/>
          <w:sz w:val="28"/>
          <w:szCs w:val="28"/>
        </w:rPr>
      </w:pPr>
      <w:bookmarkStart w:id="1" w:name="8_7"/>
      <w:bookmarkEnd w:id="1"/>
      <w:r w:rsidRPr="000A62F1">
        <w:rPr>
          <w:b/>
          <w:bCs/>
          <w:sz w:val="28"/>
          <w:szCs w:val="28"/>
        </w:rPr>
        <w:t xml:space="preserve">Расчеты ЗСО </w:t>
      </w:r>
    </w:p>
    <w:p w:rsidR="000A62F1" w:rsidRPr="000A62F1" w:rsidRDefault="000A62F1" w:rsidP="000A62F1">
      <w:pPr>
        <w:spacing w:before="120"/>
        <w:ind w:firstLine="567"/>
        <w:jc w:val="both"/>
      </w:pPr>
      <w:r w:rsidRPr="000A62F1">
        <w:t xml:space="preserve">Достаточно часто для расчета положения границ поясов используют аналитические методы. Расчетные зависимости разработаны для типовых фильтрационных схем с учетом наличия естественного потока того или иного направления, наличия покровных отложений. Наиболее полные сводки - в рекомендованных работах Е.Л.Минкина, Ф.М.Бочевера, А.Е.Орадовской, Н.Н.Лапшина. </w:t>
      </w:r>
    </w:p>
    <w:p w:rsidR="000A62F1" w:rsidRPr="000A62F1" w:rsidRDefault="000A62F1" w:rsidP="000A62F1">
      <w:pPr>
        <w:spacing w:before="120"/>
        <w:ind w:firstLine="567"/>
        <w:jc w:val="both"/>
      </w:pPr>
      <w:r w:rsidRPr="000A62F1">
        <w:t>Короткий пример для изолированного неограниченного пласта:</w:t>
      </w:r>
    </w:p>
    <w:p w:rsidR="000A62F1" w:rsidRPr="000A62F1" w:rsidRDefault="000A62F1" w:rsidP="000A62F1">
      <w:pPr>
        <w:spacing w:before="120"/>
        <w:ind w:firstLine="567"/>
        <w:jc w:val="both"/>
      </w:pPr>
      <w:r w:rsidRPr="000A62F1">
        <w:t xml:space="preserve">= Без естественного потока  </w:t>
      </w:r>
    </w:p>
    <w:p w:rsidR="000A62F1" w:rsidRPr="000A62F1" w:rsidRDefault="000A62F1" w:rsidP="000A62F1">
      <w:pPr>
        <w:spacing w:before="120"/>
        <w:ind w:firstLine="567"/>
        <w:jc w:val="both"/>
      </w:pPr>
      <w:r w:rsidRPr="000A62F1">
        <w:t xml:space="preserve">Естественно, что ЗСО в таких условиях будет иметь форму круга (рис. </w:t>
      </w:r>
      <w:r>
        <w:t>1</w:t>
      </w:r>
      <w:r w:rsidRPr="000A62F1">
        <w:t xml:space="preserve">). Его радиус можно оценить из условия, что в соответствующем цилиндрическом элементе пласта должен содержаться полный объем воды, извлекаемой водозабором за расчетный промежуток времени </w:t>
      </w:r>
      <w:r w:rsidR="00302278">
        <w:pict>
          <v:shape id="_x0000_i1038" type="#_x0000_t75" style="width:3pt;height:6.75pt">
            <v:imagedata r:id="rId16" o:title=""/>
          </v:shape>
        </w:pict>
      </w:r>
      <w:r w:rsidRPr="000A62F1">
        <w:t xml:space="preserve">: </w:t>
      </w:r>
      <w:r w:rsidR="00302278">
        <w:pict>
          <v:shape id="_x0000_i1039" type="#_x0000_t75" style="width:38.25pt;height:11.25pt">
            <v:imagedata r:id="rId17" o:title=""/>
          </v:shape>
        </w:pict>
      </w:r>
      <w:r w:rsidRPr="000A62F1">
        <w:t xml:space="preserve"> С другой стороны, необходимый объем активной пустотности водовмещающих пород в этом элементе пласта должен составлять </w:t>
      </w:r>
      <w:r w:rsidR="00302278">
        <w:pict>
          <v:shape id="_x0000_i1040" type="#_x0000_t75" style="width:57.75pt;height:13.5pt">
            <v:imagedata r:id="rId18" o:title=""/>
          </v:shape>
        </w:pict>
      </w:r>
      <w:r w:rsidRPr="000A62F1">
        <w:t xml:space="preserve">. Соответственно искомый радиус цилиндрического элемента </w:t>
      </w:r>
      <w:r w:rsidR="00302278">
        <w:pict>
          <v:shape id="_x0000_i1041" type="#_x0000_t75" style="width:81.75pt;height:15.75pt">
            <v:imagedata r:id="rId19" o:title=""/>
          </v:shape>
        </w:pict>
      </w:r>
      <w:r w:rsidRPr="000A62F1">
        <w:t xml:space="preserve"> </w:t>
      </w:r>
    </w:p>
    <w:p w:rsidR="000A62F1" w:rsidRPr="000A62F1" w:rsidRDefault="000A62F1" w:rsidP="000A62F1">
      <w:pPr>
        <w:spacing w:before="120"/>
        <w:ind w:firstLine="567"/>
        <w:jc w:val="both"/>
      </w:pPr>
      <w:r w:rsidRPr="000A62F1">
        <w:t xml:space="preserve">Например, при </w:t>
      </w:r>
      <w:r w:rsidR="00302278">
        <w:pict>
          <v:shape id="_x0000_i1042" type="#_x0000_t75" style="width:11.25pt;height:11.25pt">
            <v:imagedata r:id="rId20" o:title=""/>
          </v:shape>
        </w:pict>
      </w:r>
      <w:r w:rsidRPr="000A62F1">
        <w:t xml:space="preserve">= 10 000 куб.м/сут (водозабор вполне солидного райцентра), </w:t>
      </w:r>
      <w:r w:rsidR="00302278">
        <w:pict>
          <v:shape id="_x0000_i1043" type="#_x0000_t75" style="width:6.75pt;height:5.25pt">
            <v:imagedata r:id="rId21" o:title=""/>
          </v:shape>
        </w:pict>
      </w:r>
      <w:r w:rsidRPr="000A62F1">
        <w:t xml:space="preserve">= 20 м, </w:t>
      </w:r>
      <w:r w:rsidR="00302278">
        <w:pict>
          <v:shape id="_x0000_i1044" type="#_x0000_t75" style="width:9.75pt;height:8.25pt">
            <v:imagedata r:id="rId22" o:title=""/>
          </v:shape>
        </w:pict>
      </w:r>
      <w:r w:rsidRPr="000A62F1">
        <w:t>= 0.1 получим для II пояса (</w:t>
      </w:r>
      <w:r w:rsidR="00302278">
        <w:pict>
          <v:shape id="_x0000_i1045" type="#_x0000_t75" style="width:3pt;height:6.75pt">
            <v:imagedata r:id="rId16" o:title=""/>
          </v:shape>
        </w:pict>
      </w:r>
      <w:r w:rsidRPr="000A62F1">
        <w:t xml:space="preserve">= 200÷ 400 сут) </w:t>
      </w:r>
      <w:r w:rsidR="00302278">
        <w:pict>
          <v:shape id="_x0000_i1046" type="#_x0000_t75" style="width:11.25pt;height:10.5pt">
            <v:imagedata r:id="rId23" o:title=""/>
          </v:shape>
        </w:pict>
      </w:r>
      <w:r w:rsidRPr="000A62F1">
        <w:t>= 560÷ 800 м; для III пояса (</w:t>
      </w:r>
      <w:r w:rsidR="00302278">
        <w:pict>
          <v:shape id="_x0000_i1047" type="#_x0000_t75" style="width:3pt;height:6.75pt">
            <v:imagedata r:id="rId16" o:title=""/>
          </v:shape>
        </w:pict>
      </w:r>
      <w:r w:rsidRPr="000A62F1">
        <w:t>= 10</w:t>
      </w:r>
      <w:r w:rsidRPr="000A62F1">
        <w:rPr>
          <w:vertAlign w:val="superscript"/>
        </w:rPr>
        <w:t>4</w:t>
      </w:r>
      <w:r w:rsidRPr="000A62F1">
        <w:t xml:space="preserve"> сут) </w:t>
      </w:r>
      <w:r w:rsidR="00302278">
        <w:pict>
          <v:shape id="_x0000_i1048" type="#_x0000_t75" style="width:14.25pt;height:10.5pt">
            <v:imagedata r:id="rId24" o:title=""/>
          </v:shape>
        </w:pict>
      </w:r>
      <w:r w:rsidRPr="000A62F1">
        <w:t>= 4000 м.</w:t>
      </w:r>
    </w:p>
    <w:tbl>
      <w:tblPr>
        <w:tblW w:w="30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0"/>
      </w:tblGrid>
      <w:tr w:rsidR="000A62F1" w:rsidRPr="000A62F1" w:rsidTr="00FE413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A62F1" w:rsidRPr="000A62F1" w:rsidRDefault="00302278" w:rsidP="000A62F1">
            <w:pPr>
              <w:spacing w:before="120"/>
              <w:ind w:firstLine="567"/>
              <w:jc w:val="both"/>
              <w:rPr>
                <w:color w:val="000000"/>
              </w:rPr>
            </w:pPr>
            <w:r>
              <w:rPr>
                <w:noProof/>
                <w:lang w:val="uk-UA" w:eastAsia="uk-UA"/>
              </w:rPr>
              <w:pict>
                <v:shape id="_x0000_s1026" type="#_x0000_t75" alt="Рис .6.5." style="position:absolute;left:0;text-align:left;margin-left:-206.15pt;margin-top:-56.7pt;width:183pt;height:221.25pt;z-index:251658240;mso-wrap-distance-left:0;mso-wrap-distance-right:0;mso-position-vertical-relative:line" o:allowoverlap="f">
                  <v:imagedata r:id="rId25" o:title=""/>
                  <w10:wrap type="square"/>
                </v:shape>
              </w:pict>
            </w:r>
          </w:p>
        </w:tc>
      </w:tr>
      <w:tr w:rsidR="000A62F1" w:rsidRPr="000A62F1" w:rsidTr="00FE413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A62F1" w:rsidRPr="000A62F1" w:rsidRDefault="000A62F1" w:rsidP="000A62F1">
            <w:pPr>
              <w:spacing w:before="120"/>
              <w:ind w:firstLine="567"/>
              <w:jc w:val="both"/>
            </w:pPr>
            <w:r w:rsidRPr="000A62F1">
              <w:t xml:space="preserve">Рис. </w:t>
            </w:r>
            <w:r>
              <w:t>1</w:t>
            </w:r>
          </w:p>
        </w:tc>
      </w:tr>
    </w:tbl>
    <w:p w:rsidR="000A62F1" w:rsidRPr="000A62F1" w:rsidRDefault="000A62F1" w:rsidP="000A62F1">
      <w:pPr>
        <w:spacing w:before="120"/>
        <w:ind w:firstLine="567"/>
        <w:jc w:val="both"/>
      </w:pPr>
      <w:r w:rsidRPr="000A62F1">
        <w:t xml:space="preserve">= Понятно, что при наличии потока ЗСО приобретает эллипсовидную форму.  </w:t>
      </w:r>
    </w:p>
    <w:p w:rsidR="000A62F1" w:rsidRPr="000A62F1" w:rsidRDefault="000A62F1" w:rsidP="000A62F1">
      <w:pPr>
        <w:spacing w:before="120"/>
        <w:ind w:firstLine="567"/>
        <w:jc w:val="both"/>
      </w:pPr>
      <w:r w:rsidRPr="000A62F1">
        <w:t xml:space="preserve">Вверх по потоку размер ЗСО будет больше, т.к. здесь складываются градиент естественного потока и градиент депрессионной воронки. Реально ЗСО на местности назначается в виде прямоугольника, в который вписывается расчетный эллипс (рис. </w:t>
      </w:r>
      <w:r>
        <w:t>2</w:t>
      </w:r>
      <w:r w:rsidRPr="000A62F1">
        <w:t>. В этом случае для каждого пояса (II и III) должны быть раздельно рассчитаны три геометрических размера ЗСО:</w:t>
      </w:r>
    </w:p>
    <w:p w:rsidR="000A62F1" w:rsidRPr="000A62F1" w:rsidRDefault="000A62F1" w:rsidP="000A62F1">
      <w:pPr>
        <w:spacing w:before="120"/>
        <w:ind w:firstLine="567"/>
        <w:jc w:val="both"/>
      </w:pPr>
      <w:r w:rsidRPr="000A62F1">
        <w:t>- Полуширина ЗСО выше по потоку</w:t>
      </w:r>
      <w:r w:rsidR="00302278">
        <w:pict>
          <v:shape id="_x0000_i1049" type="#_x0000_t75" style="width:6pt;height:8.25pt">
            <v:imagedata r:id="rId26" o:title=""/>
          </v:shape>
        </w:pict>
      </w:r>
      <w:r w:rsidRPr="000A62F1">
        <w:t>: теоретически "на бесконечности" (практически уже на расстоянии порядка 3÷4</w:t>
      </w:r>
      <w:r w:rsidR="00302278">
        <w:pict>
          <v:shape id="_x0000_i1050" type="#_x0000_t75" style="width:9pt;height:8.25pt">
            <v:imagedata r:id="rId27" o:title=""/>
          </v:shape>
        </w:pict>
      </w:r>
      <w:r w:rsidRPr="000A62F1">
        <w:t xml:space="preserve">) она равна полуширине зоны захвата </w:t>
      </w:r>
      <w:r w:rsidR="00302278">
        <w:pict>
          <v:shape id="_x0000_i1051" type="#_x0000_t75" style="width:13.5pt;height:7.5pt">
            <v:imagedata r:id="rId28" o:title=""/>
          </v:shape>
        </w:pict>
      </w:r>
      <w:r w:rsidRPr="000A62F1">
        <w:t xml:space="preserve">, т.е. </w:t>
      </w:r>
      <w:r w:rsidR="00302278">
        <w:pict>
          <v:shape id="_x0000_i1052" type="#_x0000_t75" style="width:57.75pt;height:28.5pt">
            <v:imagedata r:id="rId29" o:title=""/>
          </v:shape>
        </w:pict>
      </w:r>
      <w:r w:rsidRPr="000A62F1">
        <w:t xml:space="preserve">; для конкретного времени определяется по зависимости </w:t>
      </w:r>
      <w:r w:rsidR="00302278">
        <w:pict>
          <v:shape id="_x0000_i1053" type="#_x0000_t75" style="width:36.75pt;height:12.75pt">
            <v:imagedata r:id="rId30" o:title=""/>
          </v:shape>
        </w:pict>
      </w:r>
      <w:r w:rsidRPr="000A62F1">
        <w:t>.</w:t>
      </w:r>
    </w:p>
    <w:p w:rsidR="000A62F1" w:rsidRPr="000A62F1" w:rsidRDefault="000A62F1" w:rsidP="000A62F1">
      <w:pPr>
        <w:spacing w:before="120"/>
        <w:ind w:firstLine="567"/>
        <w:jc w:val="both"/>
      </w:pPr>
      <w:r w:rsidRPr="000A62F1">
        <w:t xml:space="preserve">- </w:t>
      </w:r>
      <w:r w:rsidR="00302278">
        <w:pict>
          <v:shape id="_x0000_i1054" type="#_x0000_t75" style="width:7.5pt;height:8.25pt">
            <v:imagedata r:id="rId31" o:title=""/>
          </v:shape>
        </w:pict>
      </w:r>
      <w:r w:rsidRPr="000A62F1">
        <w:t xml:space="preserve">определяется из уравнения </w:t>
      </w:r>
      <w:r w:rsidR="00302278">
        <w:pict>
          <v:shape id="_x0000_i1055" type="#_x0000_t75" style="width:108pt;height:27pt">
            <v:imagedata r:id="rId32" o:title=""/>
          </v:shape>
        </w:pict>
      </w:r>
      <w:r w:rsidRPr="000A62F1">
        <w:t xml:space="preserve">, где </w:t>
      </w:r>
      <w:r w:rsidR="00302278">
        <w:pict>
          <v:shape id="_x0000_i1056" type="#_x0000_t75" style="width:136.5pt;height:28.5pt">
            <v:imagedata r:id="rId33" o:title=""/>
          </v:shape>
        </w:pict>
      </w:r>
      <w:r w:rsidRPr="000A62F1">
        <w:t xml:space="preserve"> - погонный (единичный) расход естественного потока.</w:t>
      </w:r>
    </w:p>
    <w:p w:rsidR="000A62F1" w:rsidRPr="000A62F1" w:rsidRDefault="000A62F1" w:rsidP="000A62F1">
      <w:pPr>
        <w:spacing w:before="120"/>
        <w:ind w:firstLine="567"/>
        <w:jc w:val="both"/>
      </w:pPr>
      <w:r w:rsidRPr="000A62F1">
        <w:t xml:space="preserve">- Размер пояса ЗСО вверх по потоку </w:t>
      </w:r>
      <w:r w:rsidR="00302278">
        <w:pict>
          <v:shape id="_x0000_i1057" type="#_x0000_t75" style="width:10.5pt;height:10.5pt">
            <v:imagedata r:id="rId34" o:title=""/>
          </v:shape>
        </w:pict>
      </w:r>
      <w:r w:rsidRPr="000A62F1">
        <w:t xml:space="preserve"> - из уравнения </w:t>
      </w:r>
      <w:r w:rsidR="00302278">
        <w:pict>
          <v:shape id="_x0000_i1058" type="#_x0000_t75" style="width:91.5pt;height:28.5pt">
            <v:imagedata r:id="rId35" o:title=""/>
          </v:shape>
        </w:pict>
      </w:r>
      <w:r w:rsidRPr="000A62F1">
        <w:t>.</w:t>
      </w:r>
    </w:p>
    <w:p w:rsidR="000A62F1" w:rsidRPr="000A62F1" w:rsidRDefault="000A62F1" w:rsidP="000A62F1">
      <w:pPr>
        <w:spacing w:before="120"/>
        <w:ind w:firstLine="567"/>
        <w:jc w:val="both"/>
      </w:pPr>
      <w:r w:rsidRPr="000A62F1">
        <w:t xml:space="preserve">- Размер вниз по потоку </w:t>
      </w:r>
      <w:r w:rsidR="00302278">
        <w:pict>
          <v:shape id="_x0000_i1059" type="#_x0000_t75" style="width:9pt;height:10.5pt">
            <v:imagedata r:id="rId36" o:title=""/>
          </v:shape>
        </w:pict>
      </w:r>
      <w:r w:rsidRPr="000A62F1">
        <w:t xml:space="preserve"> - из уравнения </w:t>
      </w:r>
      <w:r w:rsidR="00302278">
        <w:pict>
          <v:shape id="_x0000_i1060" type="#_x0000_t75" style="width:107.25pt;height:35.25pt">
            <v:imagedata r:id="rId37" o:title=""/>
          </v:shape>
        </w:pict>
      </w:r>
      <w:r w:rsidRPr="000A62F1">
        <w:t xml:space="preserve"> </w:t>
      </w:r>
    </w:p>
    <w:p w:rsidR="000A62F1" w:rsidRPr="000A62F1" w:rsidRDefault="000A62F1" w:rsidP="000A62F1">
      <w:pPr>
        <w:spacing w:before="120"/>
        <w:ind w:firstLine="567"/>
        <w:jc w:val="both"/>
      </w:pPr>
      <w:r w:rsidRPr="000A62F1">
        <w:t xml:space="preserve">Дополним исходные данные: </w:t>
      </w:r>
      <w:r w:rsidR="00302278">
        <w:pict>
          <v:shape id="_x0000_i1061" type="#_x0000_t75" style="width:9.75pt;height:8.25pt">
            <v:imagedata r:id="rId38" o:title=""/>
          </v:shape>
        </w:pict>
      </w:r>
      <w:r w:rsidRPr="000A62F1">
        <w:t xml:space="preserve">= 1 кв.м/сут (как вариант - такой расход отвечает проводимости пласта 200 кв.м/сут при уклоне 0.005). </w:t>
      </w:r>
    </w:p>
    <w:p w:rsidR="000A62F1" w:rsidRPr="000A62F1" w:rsidRDefault="000A62F1" w:rsidP="000A62F1">
      <w:pPr>
        <w:spacing w:before="120"/>
        <w:ind w:firstLine="567"/>
        <w:jc w:val="both"/>
      </w:pPr>
      <w:r w:rsidRPr="000A62F1">
        <w:t>- для II пояса (</w:t>
      </w:r>
      <w:r w:rsidR="00302278">
        <w:pict>
          <v:shape id="_x0000_i1062" type="#_x0000_t75" style="width:3pt;height:6.75pt">
            <v:imagedata r:id="rId16" o:title=""/>
          </v:shape>
        </w:pict>
      </w:r>
      <w:r w:rsidRPr="000A62F1">
        <w:t xml:space="preserve">= 400 сут) </w:t>
      </w:r>
      <w:r w:rsidR="00302278">
        <w:pict>
          <v:shape id="_x0000_i1063" type="#_x0000_t75" style="width:9pt;height:10.5pt">
            <v:imagedata r:id="rId36" o:title=""/>
          </v:shape>
        </w:pict>
      </w:r>
      <w:r w:rsidRPr="000A62F1">
        <w:t xml:space="preserve">= 670 м, </w:t>
      </w:r>
      <w:r w:rsidR="00302278">
        <w:pict>
          <v:shape id="_x0000_i1064" type="#_x0000_t75" style="width:10.5pt;height:10.5pt">
            <v:imagedata r:id="rId34" o:title=""/>
          </v:shape>
        </w:pict>
      </w:r>
      <w:r w:rsidRPr="000A62F1">
        <w:t xml:space="preserve">= 940 м, </w:t>
      </w:r>
      <w:r w:rsidR="00302278">
        <w:pict>
          <v:shape id="_x0000_i1065" type="#_x0000_t75" style="width:11.25pt;height:8.25pt">
            <v:imagedata r:id="rId39" o:title=""/>
          </v:shape>
        </w:pict>
      </w:r>
      <w:r w:rsidRPr="000A62F1">
        <w:t>= 1580 м</w:t>
      </w:r>
    </w:p>
    <w:p w:rsidR="000A62F1" w:rsidRPr="000A62F1" w:rsidRDefault="000A62F1" w:rsidP="000A62F1">
      <w:pPr>
        <w:spacing w:before="120"/>
        <w:ind w:firstLine="567"/>
        <w:jc w:val="both"/>
      </w:pPr>
      <w:r w:rsidRPr="000A62F1">
        <w:t>- для III пояса (</w:t>
      </w:r>
      <w:r w:rsidR="00302278">
        <w:pict>
          <v:shape id="_x0000_i1066" type="#_x0000_t75" style="width:3pt;height:6.75pt">
            <v:imagedata r:id="rId16" o:title=""/>
          </v:shape>
        </w:pict>
      </w:r>
      <w:r w:rsidRPr="000A62F1">
        <w:t>= 10</w:t>
      </w:r>
      <w:r w:rsidRPr="000A62F1">
        <w:rPr>
          <w:vertAlign w:val="superscript"/>
        </w:rPr>
        <w:t>4</w:t>
      </w:r>
      <w:r w:rsidRPr="000A62F1">
        <w:t xml:space="preserve"> сут) </w:t>
      </w:r>
      <w:r w:rsidR="00302278">
        <w:pict>
          <v:shape id="_x0000_i1067" type="#_x0000_t75" style="width:9pt;height:10.5pt">
            <v:imagedata r:id="rId36" o:title=""/>
          </v:shape>
        </w:pict>
      </w:r>
      <w:r w:rsidRPr="000A62F1">
        <w:t xml:space="preserve">= 1560 м, </w:t>
      </w:r>
      <w:r w:rsidR="00302278">
        <w:pict>
          <v:shape id="_x0000_i1068" type="#_x0000_t75" style="width:10.5pt;height:10.5pt">
            <v:imagedata r:id="rId34" o:title=""/>
          </v:shape>
        </w:pict>
      </w:r>
      <w:r w:rsidRPr="000A62F1">
        <w:t xml:space="preserve">= 7800 м, </w:t>
      </w:r>
      <w:r w:rsidR="00302278">
        <w:pict>
          <v:shape id="_x0000_i1069" type="#_x0000_t75" style="width:11.25pt;height:8.25pt">
            <v:imagedata r:id="rId39" o:title=""/>
          </v:shape>
        </w:pict>
      </w:r>
      <w:r w:rsidRPr="000A62F1">
        <w:t xml:space="preserve">= 3400 м. </w:t>
      </w:r>
    </w:p>
    <w:tbl>
      <w:tblPr>
        <w:tblW w:w="30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3"/>
      </w:tblGrid>
      <w:tr w:rsidR="000A62F1" w:rsidRPr="000A62F1" w:rsidTr="00FE413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A62F1" w:rsidRPr="000A62F1" w:rsidRDefault="00302278" w:rsidP="000A62F1">
            <w:pPr>
              <w:spacing w:before="120"/>
              <w:ind w:firstLine="567"/>
              <w:jc w:val="both"/>
            </w:pPr>
            <w:r>
              <w:pict>
                <v:shape id="_x0000_i1070" type="#_x0000_t75" style="width:206.25pt;height:115.5pt">
                  <v:imagedata r:id="rId40" o:title=""/>
                </v:shape>
              </w:pict>
            </w:r>
          </w:p>
        </w:tc>
      </w:tr>
      <w:tr w:rsidR="000A62F1" w:rsidRPr="000A62F1" w:rsidTr="00FE413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A62F1" w:rsidRPr="000A62F1" w:rsidRDefault="000A62F1" w:rsidP="000A62F1">
            <w:pPr>
              <w:spacing w:before="120"/>
              <w:ind w:firstLine="567"/>
              <w:jc w:val="both"/>
            </w:pPr>
            <w:r w:rsidRPr="000A62F1">
              <w:t xml:space="preserve">Рис. </w:t>
            </w:r>
            <w:r>
              <w:t>2</w:t>
            </w:r>
          </w:p>
        </w:tc>
      </w:tr>
    </w:tbl>
    <w:p w:rsidR="000A62F1" w:rsidRPr="000A62F1" w:rsidRDefault="000A62F1" w:rsidP="000A62F1">
      <w:pPr>
        <w:spacing w:before="120"/>
        <w:ind w:firstLine="567"/>
        <w:jc w:val="both"/>
      </w:pPr>
      <w:r w:rsidRPr="000A62F1">
        <w:t xml:space="preserve"> Многие из приведенных выше зависимостей представляют собой трансцендентные алгебраические уравнения, решать их приходится численными методами (на кафедре есть специализированная программа CAN). В литературе приводятся номограммы, несколько облегчающие расчеты. </w:t>
      </w:r>
    </w:p>
    <w:p w:rsidR="000A62F1" w:rsidRPr="000A62F1" w:rsidRDefault="000A62F1" w:rsidP="000A62F1">
      <w:pPr>
        <w:spacing w:before="120"/>
        <w:ind w:firstLine="567"/>
        <w:jc w:val="both"/>
      </w:pPr>
      <w:r w:rsidRPr="000A62F1">
        <w:t>Для сложных структур потока (в частности - при неупорядоченном площадном характере водозаборного сооружения) используют расчеты с применением моделирования миграции загрязнений в подземных вод. В частности, вполне удобный механизм трассирования путей движения загрязнений в фильтрационных потоках существует в вычислительной программе MODFLOW Геологической службы США (модуль PMPATH, W.-H.Chiang, W.Kinzelbach). Достаточно широкие возможности предоставляет специализированная программа ZONE (Государственный научный центр НИИ ВОДГЕО, А.В.Расторгуев), позволяющая численно-аналитическим путем рассчитать размер и конфигурацию ЗСО для типовых одно-трехслойных миграционных схем при неупорядоченном расположении водозаборных скважин и при произвольном направлении естественного потока подземных вод и поверхностных водотоков.</w:t>
      </w:r>
    </w:p>
    <w:p w:rsidR="000A62F1" w:rsidRPr="000A62F1" w:rsidRDefault="000A62F1" w:rsidP="000A62F1">
      <w:pPr>
        <w:spacing w:before="120"/>
        <w:jc w:val="center"/>
        <w:rPr>
          <w:b/>
          <w:bCs/>
          <w:sz w:val="28"/>
          <w:szCs w:val="28"/>
        </w:rPr>
      </w:pPr>
      <w:bookmarkStart w:id="2" w:name="9"/>
      <w:bookmarkEnd w:id="2"/>
      <w:r w:rsidRPr="000A62F1">
        <w:rPr>
          <w:b/>
          <w:bCs/>
          <w:sz w:val="28"/>
          <w:szCs w:val="28"/>
        </w:rPr>
        <w:t xml:space="preserve">Прогнозирование воздействия водоотбора на окружающую среду </w:t>
      </w:r>
    </w:p>
    <w:p w:rsidR="000A62F1" w:rsidRPr="000A62F1" w:rsidRDefault="000A62F1" w:rsidP="000A62F1">
      <w:pPr>
        <w:spacing w:before="120"/>
        <w:ind w:firstLine="567"/>
        <w:jc w:val="both"/>
      </w:pPr>
      <w:r w:rsidRPr="000A62F1">
        <w:t>Несколько разрозненных тезисов по этой модной для неспециалистов (особенно "зеленого" цвета) и весьма болезненной (для ответственных специалистов), но крайне слабо разработанной тематике.</w:t>
      </w:r>
    </w:p>
    <w:p w:rsidR="000A62F1" w:rsidRPr="000A62F1" w:rsidRDefault="000A62F1" w:rsidP="000A62F1">
      <w:pPr>
        <w:spacing w:before="120"/>
        <w:ind w:firstLine="567"/>
        <w:jc w:val="both"/>
      </w:pPr>
      <w:r w:rsidRPr="000A62F1">
        <w:t xml:space="preserve">Эксплуатационный водоотбор является одним из наиболее распространенных и значимых видов техногенного воздействия на гидросферу и сопряженные с ней элементы окружающей среды. Современные тенденции развития систем водообеспечения однозначно свидетельствуют о неизбежности постоянного его расширения в обозримой перспективе. </w:t>
      </w:r>
    </w:p>
    <w:p w:rsidR="000A62F1" w:rsidRPr="000A62F1" w:rsidRDefault="000A62F1" w:rsidP="000A62F1">
      <w:pPr>
        <w:spacing w:before="120"/>
        <w:ind w:firstLine="567"/>
        <w:jc w:val="both"/>
      </w:pPr>
      <w:r w:rsidRPr="000A62F1">
        <w:t xml:space="preserve">Эксплуатационный водоотбор неизбежно наносит ущерб окружающей среде, особенно в районах массированного (практически площадного) водоотбора. </w:t>
      </w:r>
    </w:p>
    <w:p w:rsidR="000A62F1" w:rsidRPr="000A62F1" w:rsidRDefault="000A62F1" w:rsidP="000A62F1">
      <w:pPr>
        <w:spacing w:before="120"/>
        <w:ind w:firstLine="567"/>
        <w:jc w:val="both"/>
      </w:pPr>
      <w:r w:rsidRPr="000A62F1">
        <w:t xml:space="preserve">Инициировать оценку возможного ущерба окружающей среде обязан гидрогеолог, выполняющий поисково-разведочные работы на конкретном месторождении. Это непосредственно вытекает из самого понятия "эксплуатационные запасы подземных вод" - к ним могут быть отнесены только те количества воды, эксплуатационный отбор которых не приводит к недопустимому (по масштабу и качеству) ущербу окружающей среде. </w:t>
      </w:r>
    </w:p>
    <w:p w:rsidR="000A62F1" w:rsidRPr="000A62F1" w:rsidRDefault="000A62F1" w:rsidP="000A62F1">
      <w:pPr>
        <w:spacing w:before="120"/>
        <w:ind w:firstLine="567"/>
        <w:jc w:val="both"/>
      </w:pPr>
      <w:r w:rsidRPr="000A62F1">
        <w:t xml:space="preserve">Конечный прогноз воздействия на отдельные элементы окружающей среды должен быть разработан профильными специалистами; в профессиональной компетенции гидрогеолога находится лишь обеспечение "краевых" условий этой задачи, т.е. прогнозное количественное (в пространственно-временных координатах) обоснование ожидаемых воднобалансовых и гидрогеодинамических изменений под влиянием работы водозаборного сооружения. </w:t>
      </w:r>
    </w:p>
    <w:p w:rsidR="000A62F1" w:rsidRPr="000A62F1" w:rsidRDefault="000A62F1" w:rsidP="000A62F1">
      <w:pPr>
        <w:spacing w:before="120"/>
        <w:ind w:firstLine="567"/>
        <w:jc w:val="both"/>
      </w:pPr>
      <w:r w:rsidRPr="000A62F1">
        <w:t xml:space="preserve">Основные агенты воздействия на окружающую среду при работе водозаборов: </w:t>
      </w:r>
    </w:p>
    <w:p w:rsidR="000A62F1" w:rsidRPr="000A62F1" w:rsidRDefault="000A62F1" w:rsidP="000A62F1">
      <w:pPr>
        <w:spacing w:before="120"/>
        <w:ind w:firstLine="567"/>
        <w:jc w:val="both"/>
      </w:pPr>
      <w:r w:rsidRPr="000A62F1">
        <w:t xml:space="preserve">изменение водного баланса поверхностной гидросети (водотоки, водоемы, болота) </w:t>
      </w:r>
    </w:p>
    <w:p w:rsidR="000A62F1" w:rsidRPr="000A62F1" w:rsidRDefault="000A62F1" w:rsidP="000A62F1">
      <w:pPr>
        <w:spacing w:before="120"/>
        <w:ind w:firstLine="567"/>
        <w:jc w:val="both"/>
      </w:pPr>
      <w:r w:rsidRPr="000A62F1">
        <w:t xml:space="preserve">изменение глубины залегания свободной поверхности грунтового водоносного горизонта </w:t>
      </w:r>
    </w:p>
    <w:p w:rsidR="000A62F1" w:rsidRPr="000A62F1" w:rsidRDefault="000A62F1" w:rsidP="000A62F1">
      <w:pPr>
        <w:spacing w:before="120"/>
        <w:ind w:firstLine="567"/>
        <w:jc w:val="both"/>
      </w:pPr>
      <w:r w:rsidRPr="000A62F1">
        <w:t xml:space="preserve">изменение напряженного состояния обводненных массивов горных пород </w:t>
      </w:r>
    </w:p>
    <w:p w:rsidR="000A62F1" w:rsidRPr="000A62F1" w:rsidRDefault="000A62F1" w:rsidP="000A62F1">
      <w:pPr>
        <w:spacing w:before="120"/>
        <w:ind w:firstLine="567"/>
        <w:jc w:val="both"/>
      </w:pPr>
      <w:r w:rsidRPr="000A62F1">
        <w:t xml:space="preserve">изменение гидрогеотермического режима (интенсивность и направленность тепловых потоков) массивов многолетнемерзлых пород </w:t>
      </w:r>
    </w:p>
    <w:p w:rsidR="000A62F1" w:rsidRPr="000A62F1" w:rsidRDefault="000A62F1" w:rsidP="000A62F1">
      <w:pPr>
        <w:spacing w:before="120"/>
        <w:ind w:firstLine="567"/>
        <w:jc w:val="both"/>
      </w:pPr>
      <w:r w:rsidRPr="000A62F1">
        <w:t xml:space="preserve">Основные экологические последствия длительной эксплуатации водозаборов могут заключаться в следующем: </w:t>
      </w:r>
    </w:p>
    <w:p w:rsidR="000A62F1" w:rsidRPr="000A62F1" w:rsidRDefault="000A62F1" w:rsidP="000A62F1">
      <w:pPr>
        <w:spacing w:before="120"/>
        <w:ind w:firstLine="567"/>
        <w:jc w:val="both"/>
      </w:pPr>
      <w:r w:rsidRPr="000A62F1">
        <w:t xml:space="preserve">ухудшение условий обитания и деградация водной и околоводной флоры и фауны поверхностной гидросети </w:t>
      </w:r>
    </w:p>
    <w:p w:rsidR="000A62F1" w:rsidRPr="000A62F1" w:rsidRDefault="000A62F1" w:rsidP="000A62F1">
      <w:pPr>
        <w:spacing w:before="120"/>
        <w:ind w:firstLine="567"/>
        <w:jc w:val="both"/>
      </w:pPr>
      <w:r w:rsidRPr="000A62F1">
        <w:t xml:space="preserve">ухудшение условий увлажнения приповерхностной части разреза с деградацией почв и ландшафтного комплекса в целом </w:t>
      </w:r>
    </w:p>
    <w:p w:rsidR="000A62F1" w:rsidRPr="000A62F1" w:rsidRDefault="000A62F1" w:rsidP="000A62F1">
      <w:pPr>
        <w:spacing w:before="120"/>
        <w:ind w:firstLine="567"/>
        <w:jc w:val="both"/>
      </w:pPr>
      <w:r w:rsidRPr="000A62F1">
        <w:t xml:space="preserve">ухудшение несущей способности массивов горных пород как основания для инженерных сооружений с просадками земной поверхности, активизацией опасных геодинамических процессов (суффозия, карстообразование) </w:t>
      </w:r>
    </w:p>
    <w:p w:rsidR="000A62F1" w:rsidRPr="000A62F1" w:rsidRDefault="000A62F1" w:rsidP="000A62F1">
      <w:pPr>
        <w:spacing w:before="120"/>
        <w:ind w:firstLine="567"/>
        <w:jc w:val="both"/>
      </w:pPr>
      <w:r w:rsidRPr="000A62F1">
        <w:t xml:space="preserve">изменение пространственной конфигурации мерзлых и талых толщ с сопутствующими опасными мерзлотными явлениями.  </w:t>
      </w:r>
    </w:p>
    <w:p w:rsidR="000A62F1" w:rsidRPr="000A62F1" w:rsidRDefault="000A62F1" w:rsidP="000A62F1">
      <w:pPr>
        <w:spacing w:before="120"/>
        <w:ind w:firstLine="567"/>
        <w:jc w:val="both"/>
      </w:pPr>
      <w:r w:rsidRPr="000A62F1">
        <w:t>В целом следует констатировать, что проблема геоэкологических последствий длительного и интенсивного эксплуатационного отбора подземных вод не обеспечена хотя бы минимально развитым аппаратом прогностических решений. Направление инженерного прогноза в современной экологии в целом и в геоэкологии в частности практически не разрабатывается, что способствует нередкому возникновению спекулятивных, часто истеричных кампаний, раздуваемых недобросовестными (и, скорее всего, небескорыстными) личностями и абсолютно некомпетентными "зелеными" организациями (к сожалению, часто при поддержке СМИ).</w:t>
      </w:r>
    </w:p>
    <w:p w:rsidR="009370B9" w:rsidRPr="000A62F1" w:rsidRDefault="009370B9" w:rsidP="000A62F1">
      <w:pPr>
        <w:spacing w:before="120"/>
        <w:ind w:firstLine="567"/>
        <w:jc w:val="both"/>
      </w:pPr>
      <w:bookmarkStart w:id="3" w:name="_GoBack"/>
      <w:bookmarkEnd w:id="3"/>
    </w:p>
    <w:sectPr w:rsidR="009370B9" w:rsidRPr="000A62F1" w:rsidSect="000A62F1">
      <w:pgSz w:w="11907" w:h="16838"/>
      <w:pgMar w:top="1134" w:right="1134" w:bottom="1134" w:left="1134" w:header="709" w:footer="709" w:gutter="0"/>
      <w:cols w:space="708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AF3C67"/>
    <w:multiLevelType w:val="multilevel"/>
    <w:tmpl w:val="EEE2D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77FE1B41"/>
    <w:multiLevelType w:val="multilevel"/>
    <w:tmpl w:val="80023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rawingGridVerticalSpacing w:val="10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62F1"/>
    <w:rsid w:val="000A62F1"/>
    <w:rsid w:val="002B22E2"/>
    <w:rsid w:val="00302278"/>
    <w:rsid w:val="004A25AF"/>
    <w:rsid w:val="009370B9"/>
    <w:rsid w:val="00FE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3"/>
    <o:shapelayout v:ext="edit">
      <o:idmap v:ext="edit" data="1"/>
    </o:shapelayout>
  </w:shapeDefaults>
  <w:decimalSymbol w:val=","/>
  <w:listSeparator w:val=";"/>
  <w14:defaultImageDpi w14:val="0"/>
  <w15:docId w15:val="{BDFF2853-2E63-4085-8A0E-C1DA62C4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2F1"/>
    <w:pPr>
      <w:spacing w:after="0" w:line="240" w:lineRule="auto"/>
    </w:pPr>
    <w:rPr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9"/>
    <w:qFormat/>
    <w:rsid w:val="000A62F1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00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paragraph" w:styleId="a3">
    <w:name w:val="Normal (Web)"/>
    <w:basedOn w:val="a"/>
    <w:uiPriority w:val="99"/>
    <w:rsid w:val="000A62F1"/>
    <w:pPr>
      <w:spacing w:before="100" w:beforeAutospacing="1" w:after="100" w:afterAutospacing="1"/>
    </w:pPr>
    <w:rPr>
      <w:rFonts w:ascii="Arial" w:hAnsi="Arial" w:cs="Arial"/>
      <w:color w:val="000000"/>
    </w:rPr>
  </w:style>
  <w:style w:type="character" w:styleId="a4">
    <w:name w:val="Hyperlink"/>
    <w:basedOn w:val="a0"/>
    <w:uiPriority w:val="99"/>
    <w:rsid w:val="000A62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6749</Words>
  <Characters>3847</Characters>
  <Application>Microsoft Office Word</Application>
  <DocSecurity>0</DocSecurity>
  <Lines>32</Lines>
  <Paragraphs>21</Paragraphs>
  <ScaleCrop>false</ScaleCrop>
  <Company>Home</Company>
  <LinksUpToDate>false</LinksUpToDate>
  <CharactersWithSpaces>10575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Санитарная охрана водозаборов </dc:title>
  <dc:subject/>
  <dc:creator>User</dc:creator>
  <cp:keywords/>
  <dc:description/>
  <cp:lastModifiedBy>admin</cp:lastModifiedBy>
  <cp:revision>2</cp:revision>
  <dcterms:created xsi:type="dcterms:W3CDTF">2014-01-25T16:17:00Z</dcterms:created>
  <dcterms:modified xsi:type="dcterms:W3CDTF">2014-01-25T16:17:00Z</dcterms:modified>
</cp:coreProperties>
</file>