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2F" w:rsidRPr="00D03C90" w:rsidRDefault="00E87C2F" w:rsidP="00012508">
      <w:pPr>
        <w:spacing w:line="360" w:lineRule="auto"/>
        <w:ind w:left="709" w:firstLine="11"/>
        <w:jc w:val="center"/>
        <w:rPr>
          <w:b/>
          <w:bCs/>
          <w:sz w:val="28"/>
          <w:szCs w:val="28"/>
        </w:rPr>
      </w:pPr>
      <w:r w:rsidRPr="00D03C90">
        <w:rPr>
          <w:b/>
          <w:bCs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012508" w:rsidRPr="00D03C90" w:rsidRDefault="00012508" w:rsidP="0001250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left="709" w:firstLine="11"/>
        <w:jc w:val="center"/>
        <w:rPr>
          <w:b/>
          <w:bCs/>
          <w:sz w:val="28"/>
          <w:szCs w:val="28"/>
        </w:rPr>
      </w:pPr>
      <w:r w:rsidRPr="00D03C90">
        <w:rPr>
          <w:b/>
          <w:bCs/>
          <w:sz w:val="28"/>
          <w:szCs w:val="28"/>
        </w:rPr>
        <w:t>НОРМЫ ПОЖАРНОЙ БЕЗОПАСНОСТИ "СИСТЕМЫ ОПОВЕЩЕНИЯ И УПРАВЛЕНИЯ ЭВАКУАЦИЕЙ ЛЮДЕЙ ПРИ ПОЖАРАХ В ЗДАНИЯХ И СООРУЖЕНИЯХ" (НПБ 104-03)</w:t>
      </w:r>
    </w:p>
    <w:p w:rsidR="00E87C2F" w:rsidRPr="00D03C90" w:rsidRDefault="00012508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br w:type="page"/>
      </w:r>
      <w:r w:rsidR="00E87C2F" w:rsidRPr="00D03C90">
        <w:rPr>
          <w:sz w:val="28"/>
          <w:szCs w:val="28"/>
        </w:rPr>
        <w:t>1. Область применения</w:t>
      </w:r>
    </w:p>
    <w:p w:rsidR="00012508" w:rsidRPr="00D03C90" w:rsidRDefault="00012508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1.1. Настоящие нормы устанавливают требования пожарной безопасности к системам оповещения и управления эвакуацией (СОУЭ) людей при пожарах в зданиях и сооружениях (далее - зданиях).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1.2. Настоящие нормы устанавливают типы СОУЭ и определяют перечень зданий, подлежащих оснащению этими системами.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1.3. При проектировании СОУЭ наряду с настоящими нормами следует руководствоваться также другими нормативными документами, утвержденными в установленном законом порядке.</w:t>
      </w:r>
    </w:p>
    <w:p w:rsidR="00012508" w:rsidRPr="00D03C90" w:rsidRDefault="00012508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2. Термины и определения</w:t>
      </w:r>
    </w:p>
    <w:p w:rsidR="00012508" w:rsidRPr="00D03C90" w:rsidRDefault="00012508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В настоящих нормах приняты термины и определения (за исключением приведенных ниже) в соответствии с СТ СЭВ 383, ГОСТ 12.1.003, ГОСТ 12.1.004, ГОСТ 12.1.033, ГОСТ Р 12.4.026, НПБ 77, НПБ 88 и СНиП 21-01.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Система оповещения и управления эвакуацией (СОУЭ) - комплекс организационных мероприятий и технических средств, предназначенный для своевременного сообщения людям информации о возникновении пожара и (или) необходимости и путях эвакуации.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Зона пожарного оповещения - часть здания, где проводится одновременное и одинаковое по способу оповещение людей о пожаре.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Технические средства оповещения - звуковые, речевые, световые и комбинированные пожарные оповещатели, приборы управления ими, а также эвакуационные знаки пожарной безопасности.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Статический указатель - эвакуационный знак пожарной безопасности с постоянным смысловым значением.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Динамический указатель - эвакуационный знак пожарной безопасности с изменяемым смысловым значением.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Автоматическое управление - приведение в действие СОУЭ командным импульсом автоматических установок пожарной сигнализации или пожаротушения.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Полуавтоматическое управление - приведение в действие СОУЭ диспетчером при получении командного импульса от автоматических установок пожарной сигнализации или пожаротушения.</w:t>
      </w:r>
    </w:p>
    <w:p w:rsidR="00012508" w:rsidRPr="00D03C90" w:rsidRDefault="00012508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 Общие положения</w:t>
      </w:r>
    </w:p>
    <w:p w:rsidR="00D03C90" w:rsidRPr="00D03C90" w:rsidRDefault="00D03C90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3.1. Оповещение и управление эвакуацией людей при пожаре должно осуществляться одним из следующих способов или их комбинацией: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подачей звуковых и (или) световых сигналов во все помещения здания с постоянным или временным пребыванием людей;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трансляцией текстов о необходимости эвакуации, путях эвакуации, направлении движения и других действиях, направленных на обеспечение безопасности людей;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трансляцией специально разработанных текстов, направленных на предотвращение паники и других явлений, усложняющих эвакуацию;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размещением эвакуационных знаков безопасности на путях эвакуации;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включением эвакуационных знаков безопасности;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включением эвакуационного освещения;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дистанционным открыванием дверей эвакуационных выходов (например, оборудованных электромагнитными замками);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связью пожарного поста-диспетчерской с зонами пожарного оповещения.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3.2. СОУЭ должна проектироваться с целью реализации планов эвакуации.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При проектировании СОУЭ должна предусматриваться возможность ее сопряжения с системой оповещения гражданской обороны.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3.3. СОУЭ должна включаться от командного импульса, формируемого автоматической установкой пожарной сигнализации или пожаротушения, за исключением случаев, приведенных в п.3.4. и 3.6. настоящих норм.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п34"/>
      <w:r w:rsidRPr="00D03C90">
        <w:rPr>
          <w:sz w:val="28"/>
          <w:szCs w:val="28"/>
        </w:rPr>
        <w:t>3.4</w:t>
      </w:r>
      <w:bookmarkEnd w:id="0"/>
      <w:r w:rsidRPr="00D03C90">
        <w:rPr>
          <w:sz w:val="28"/>
          <w:szCs w:val="28"/>
        </w:rPr>
        <w:t>. Допускается использовать в СОУЭ дистанционное и местное включение &lt;</w:t>
      </w:r>
      <w:r w:rsidRPr="007A2B10">
        <w:rPr>
          <w:sz w:val="28"/>
          <w:szCs w:val="28"/>
        </w:rPr>
        <w:t>*</w:t>
      </w:r>
      <w:r w:rsidRPr="00D03C90">
        <w:rPr>
          <w:sz w:val="28"/>
          <w:szCs w:val="28"/>
        </w:rPr>
        <w:t>&gt;, если в соответствии с нормативными документами для данного вида зданий не требуется оснащение автоматическими установками пожаротушения и автоматической пожарной сигнализацией.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_______________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bookmarkStart w:id="1" w:name="прим1"/>
      <w:r w:rsidRPr="00D03C90">
        <w:rPr>
          <w:sz w:val="28"/>
          <w:szCs w:val="28"/>
        </w:rPr>
        <w:t>&lt;*&gt;</w:t>
      </w:r>
      <w:bookmarkEnd w:id="1"/>
      <w:r w:rsidRPr="00D03C90">
        <w:rPr>
          <w:sz w:val="28"/>
          <w:szCs w:val="28"/>
        </w:rPr>
        <w:t xml:space="preserve"> Термины дистанционное и местное включение определены в нормативных документах по пожарной безопасности, утвержденных в установленном порядке.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Пусковые элементы должны быть выполнены и размещены в соответствии с требованиями, предъявляемыми к ручным пожарным извещателям.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3.5. Допускается осуществлять включение СОУЭ при срабатывании одного пожарного извещателя, если выполняются условия, изложенные в нормативных документах по пожарной безопасности, утвержденных в установленном порядке.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bookmarkStart w:id="2" w:name="п36"/>
      <w:r w:rsidRPr="00D03C90">
        <w:rPr>
          <w:sz w:val="28"/>
          <w:szCs w:val="28"/>
        </w:rPr>
        <w:t>3.6</w:t>
      </w:r>
      <w:bookmarkEnd w:id="2"/>
      <w:r w:rsidRPr="00D03C90">
        <w:rPr>
          <w:sz w:val="28"/>
          <w:szCs w:val="28"/>
        </w:rPr>
        <w:t>. Допускается использовать в СОУЭ 3 - 5-го типов полуавтоматическое управление, а также дистанционное и местное включение в отдельных зонах оповещения.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Выбор вида управления определяется организацией-проектировщиком в зависимости от функционального назначения, конструктивных и объемно-планировочных решений здания исходя из условия обеспечения безопасной эвакуации людей при пожаре. В качестве такого условия могут быть применены требования нормативных документов по пожарной безопасности, утвержденных в установленном порядке в части обеспечения безопасности людей при пожаре.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3.7. При разделении здания на зоны оповещения должна разрабатываться специальная очередность оповещения людей, находящихся в защищаемом объекте.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3.8. Размеры зон пожарного оповещения, специальная очередность оповещения и время начала оповещения в отдельных зонах определяются, исходя из условия обеспечения безопасной эвакуации людей при пожаре. Допускается в качестве такого условия использовать требования нормативных документов по пожарной безопасности, утвержденных в установленном порядке в части обеспечения безопасности людей при пожаре.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3.9. СОУЭ должна функционировать в течение времени, необходимого для завершения эвакуации людей из здания.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Провода и кабели соединительных линий СОУЭ следует прокладывать в строительных конструкциях, коробах или каналах из негорючих материалов.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3.10. Исполнение технических средств оповещения должно соответствовать требованиям нормативных документов по пожарной безопасности, утвержденных в установленном порядке.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3.11. Размещение световых указателей и эвакуационных знаков пожарной безопасности должно выполняться в соответствии с требованиями нормативных документов по пожарной безопасности, утвержденных в установленном порядке.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3.12. Эвакуационное освещение предусматривается в соответствии с требованиями нормативных документов по пожарной безопасности, утвержденных в установленном порядке.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3.13. Эвакуационные световые указатели включаются одновременно с основными осветительными приборами рабочего освещения.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Допускается использовать эвакуационные световые указатели, автоматически включаемые при получении СОУЭ командного импульса о начале оповещения о пожаре и (или) аварийном прекращении питания рабочего освещения.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Световые указатели "Выход" в зрительных, демонстрационных, выставочных и других залах должны включаться на время пребывания людей.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bookmarkStart w:id="3" w:name="п314"/>
      <w:r w:rsidRPr="00D03C90">
        <w:rPr>
          <w:sz w:val="28"/>
          <w:szCs w:val="28"/>
        </w:rPr>
        <w:t>3.14</w:t>
      </w:r>
      <w:bookmarkEnd w:id="3"/>
      <w:r w:rsidRPr="00D03C90">
        <w:rPr>
          <w:sz w:val="28"/>
          <w:szCs w:val="28"/>
        </w:rPr>
        <w:t>. Звуковые сигналы СОУЭ должны обеспечивать общий уровень звука, уровень звука постоянного шума вместе со всеми сигналами, производимыми оповещателями, не менее 75 дБА на расстоянии 3 м от оповещателя, но не более 120 дБА в любой точке защищаемого помещения.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3.15. Для обеспечения четкой слышимости звуковые сигналы СОУЭ должны обеспечивать уровень звука не менее чем на 15 дБА выше допустимого уровня звука постоянного шума в защищаемом помещении. Измерение проводится на расстоянии 1,5 м от уровня пола.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п316"/>
      <w:r w:rsidRPr="00D03C90">
        <w:rPr>
          <w:sz w:val="28"/>
          <w:szCs w:val="28"/>
        </w:rPr>
        <w:t>3.16</w:t>
      </w:r>
      <w:bookmarkEnd w:id="4"/>
      <w:r w:rsidRPr="00D03C90">
        <w:rPr>
          <w:sz w:val="28"/>
          <w:szCs w:val="28"/>
        </w:rPr>
        <w:t>. В спальных помещениях звуковые сигналы СОУЭ должны иметь уровень звука не менее чем на 15 дБА выше уровня звука постоянного шума в защищаемом помещении, но не менее 70 дБА. Измерения проводятся на уровне головы спящего человека.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3.17. Настенные звуковые оповещатели, как правило, должны крепиться на высоте не менее 2,3 м от уровня пола, но расстояние от потолка до оповещателя должно быть не менее 150 мм.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3.18. В защищаемых помещениях, где люди находятся в шумозащитном снаряжении, или с уровнем звука шума более 95 дБА, звуковые оповещатели должны комбинироваться со световыми, допускается использование световых мигающих оповещателей.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3.19. Речевые оповещатели должны воспроизводить нормально слышимые частоты в диапазоне от 200 до 5000 Гц. Уровень звука информации от речевых оповещателей должен соответствовать требованиям настоящих норм для звуковых оповещателей, изложенных в п.п.3.14-3.16 настоящих норм.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3.20. Установка громкоговорителей и других речевых оповещателей в защищаемых помещениях должна исключать концентрацию и неравномерное распределение отраженного звука.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3.21. Настенные речевые оповещатели должны располагаться таким образом, чтобы их верхняя часть была на расстоянии не менее 2,3 м от уровня пола, но расстояние от потолка до верхней части оповещателя должно быть не менее 150 мм.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3.22. Количество звуковых и речевых пожарных оповещателей, их расстановка и мощность должны обеспечивать уровень звука во всех местах постоянного или временного пребывания людей в соответствии с требованиями п.п. 3.14-3.16</w:t>
      </w:r>
      <w:r w:rsidR="00D03C90">
        <w:rPr>
          <w:sz w:val="28"/>
          <w:szCs w:val="28"/>
        </w:rPr>
        <w:t xml:space="preserve"> </w:t>
      </w:r>
      <w:r w:rsidRPr="00D03C90">
        <w:rPr>
          <w:sz w:val="28"/>
          <w:szCs w:val="28"/>
        </w:rPr>
        <w:t>настоящих норм.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3.23. Оповещатели не должны иметь регуляторов громкости и должны подключаться к сети без разъемных устройств.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3.24.</w:t>
      </w:r>
      <w:r w:rsidR="00D03C90">
        <w:rPr>
          <w:sz w:val="28"/>
          <w:szCs w:val="28"/>
        </w:rPr>
        <w:t xml:space="preserve"> </w:t>
      </w:r>
      <w:r w:rsidRPr="00D03C90">
        <w:rPr>
          <w:sz w:val="28"/>
          <w:szCs w:val="28"/>
        </w:rPr>
        <w:t>Звуковые сигналы оповещения должны отличаться по тональности от звуковых сигналов другого назначения.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3.25. Коммуникации СОУЭ допускается проектировать совмещенными с радиотрансляционной сетью здания.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3.26. Требования к электроснабжению, заземлению, занулению, выбору кабелей и проводов сетей СОУЭ следует принимать в соответствии с требованиями нормативных документов по пожарной безопасности, утвержденных в установленном порядке.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3.27. Управление СОУЭ должно осуществляться из помещения пожарного поста-диспетчерской или другого специального помещения, отвечающего требованиям, изложенным в нормативных документах по пожарной безопасности, утвержденных в установленном порядке.</w:t>
      </w:r>
    </w:p>
    <w:p w:rsidR="00E87C2F" w:rsidRPr="00D03C90" w:rsidRDefault="00D03C90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br w:type="page"/>
      </w:r>
      <w:r w:rsidR="00E87C2F" w:rsidRPr="00D03C90">
        <w:rPr>
          <w:sz w:val="28"/>
          <w:szCs w:val="28"/>
        </w:rPr>
        <w:t>4. Типы систем оповещения и управления эвакуацией людей при пожарах в зданиях</w:t>
      </w:r>
    </w:p>
    <w:p w:rsidR="00D03C90" w:rsidRPr="00D03C90" w:rsidRDefault="00D03C90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4.1. Нормами предусмотрено 5 типов СОУЭ, в зависимости от способа оповещения, деления здания на зоны оповещения и других характеристик, приведенных в таблице 1.</w:t>
      </w:r>
    </w:p>
    <w:p w:rsidR="00012508" w:rsidRPr="00D03C90" w:rsidRDefault="00012508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Таблица 1</w:t>
      </w:r>
    </w:p>
    <w:tbl>
      <w:tblPr>
        <w:tblW w:w="4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25"/>
        <w:gridCol w:w="737"/>
        <w:gridCol w:w="735"/>
        <w:gridCol w:w="737"/>
        <w:gridCol w:w="735"/>
        <w:gridCol w:w="705"/>
      </w:tblGrid>
      <w:tr w:rsidR="00E87C2F" w:rsidRPr="001735B4" w:rsidTr="00012508">
        <w:trPr>
          <w:cantSplit/>
          <w:trHeight w:val="675"/>
          <w:jc w:val="center"/>
        </w:trPr>
        <w:tc>
          <w:tcPr>
            <w:tcW w:w="292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Характеристика СОУЭ</w:t>
            </w:r>
          </w:p>
        </w:tc>
        <w:tc>
          <w:tcPr>
            <w:tcW w:w="2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Наличие указанных характеристик у различных типов СОУЭ</w:t>
            </w:r>
          </w:p>
        </w:tc>
      </w:tr>
      <w:tr w:rsidR="00E87C2F" w:rsidRPr="001735B4" w:rsidTr="00012508">
        <w:trPr>
          <w:cantSplit/>
          <w:trHeight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5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1. Способы оповещения: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Звуковой (сирена, тонированный сигнал и др.)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Речевой (передача специальных текстов)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Световой: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а) световые мигающие указатели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б) статические оповещатели "Выход"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в) статические указатели направления движения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г) динамические указатели направления движения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  <w:tr w:rsidR="00E87C2F" w:rsidRPr="001735B4" w:rsidTr="00012508">
        <w:trPr>
          <w:trHeight w:val="345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2. Разделение здания на зоны пожарного оповещения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  <w:tr w:rsidR="00E87C2F" w:rsidRPr="001735B4" w:rsidTr="00012508">
        <w:trPr>
          <w:trHeight w:val="690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3. Обратная связь зон оповещения с помещением пожарного поста-диспетчерской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  <w:tr w:rsidR="00E87C2F" w:rsidRPr="001735B4" w:rsidTr="00012508">
        <w:trPr>
          <w:trHeight w:val="690"/>
          <w:jc w:val="center"/>
        </w:trPr>
        <w:tc>
          <w:tcPr>
            <w:tcW w:w="2920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4. Возможность реализации нескольких вариантов эвакуации из каждой зоны оповещения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  <w:tr w:rsidR="00E87C2F" w:rsidRPr="001735B4" w:rsidTr="00012508">
        <w:trPr>
          <w:trHeight w:val="1035"/>
          <w:jc w:val="center"/>
        </w:trPr>
        <w:tc>
          <w:tcPr>
            <w:tcW w:w="292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5. Координированное управление из одного пожарного поста-диспетчерской всеми системами здания, связанными с обеспечением безопасности людей при пожаре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+</w:t>
            </w:r>
          </w:p>
        </w:tc>
      </w:tr>
    </w:tbl>
    <w:p w:rsidR="00012508" w:rsidRPr="00D03C90" w:rsidRDefault="00012508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Примечания.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1. + требуется; * допускается; - не требуется.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2. Допускается использование звукового способа оповещения для СОУЭ 3-5 типов в отдельных зонах оповещения.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 В зданиях, где находятся (работают, проживают, проводят досуг) глухие и слабослышащие люди, требуется использование световых или мигающих оповещателей.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4. СОУЭ 3-5 типов относятся к автоматизированным системам.</w:t>
      </w:r>
    </w:p>
    <w:p w:rsidR="00012508" w:rsidRPr="00D03C90" w:rsidRDefault="00012508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pStyle w:val="1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5. Определение типов систем оповещения и управления эвакуацией людей при пожаре для зданий и сооружений различного назначения</w:t>
      </w:r>
    </w:p>
    <w:p w:rsidR="00E87C2F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5.1. Тип СОУЭ для зданий определяется по таблице 2. Допускается использование более высокого типа СОУЭ для зданий при соблюдении условия обеспечения безопасной эвакуации людей.</w:t>
      </w:r>
    </w:p>
    <w:p w:rsidR="00D03C90" w:rsidRDefault="00D03C90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1417"/>
        <w:gridCol w:w="1281"/>
        <w:gridCol w:w="539"/>
        <w:gridCol w:w="540"/>
        <w:gridCol w:w="540"/>
        <w:gridCol w:w="540"/>
        <w:gridCol w:w="542"/>
        <w:gridCol w:w="1950"/>
      </w:tblGrid>
      <w:tr w:rsidR="00E87C2F" w:rsidRPr="001735B4" w:rsidTr="00012508">
        <w:trPr>
          <w:cantSplit/>
          <w:jc w:val="center"/>
        </w:trPr>
        <w:tc>
          <w:tcPr>
            <w:tcW w:w="1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Группа зданий, комплексов и сооружений (наименование нормативного показателя)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Значение нормативного показателя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Наибольшее число этажей</w:t>
            </w:r>
          </w:p>
        </w:tc>
        <w:tc>
          <w:tcPr>
            <w:tcW w:w="1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Тип СОУЭ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Примечания</w:t>
            </w:r>
          </w:p>
        </w:tc>
      </w:tr>
      <w:tr w:rsidR="00E87C2F" w:rsidRPr="001735B4" w:rsidTr="00012508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1. Предприятия бытового обслуживания, банки (площадь пожарного отсека, м</w:t>
            </w:r>
            <w:r w:rsidRPr="001735B4">
              <w:rPr>
                <w:vertAlign w:val="superscript"/>
              </w:rPr>
              <w:t>2</w:t>
            </w:r>
            <w:r w:rsidRPr="001735B4"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800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800 - 1000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1000 - 2500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2500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6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Помещения площадью более 200 м</w:t>
            </w:r>
            <w:r w:rsidRPr="001735B4">
              <w:rPr>
                <w:vertAlign w:val="superscript"/>
              </w:rPr>
              <w:t>2</w:t>
            </w:r>
            <w:r w:rsidRPr="001735B4">
              <w:t>, размещаемые в составе торговых и общественных центров или в общественных зданиях другого назначения рассматриваются как самостоятельные зоны оповещения</w:t>
            </w: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2. Парикмахерские, мастерские по ремонту и т.п., размещаемые в общественных зданиях (площадь, м</w:t>
            </w:r>
            <w:r w:rsidRPr="001735B4">
              <w:rPr>
                <w:vertAlign w:val="superscript"/>
              </w:rPr>
              <w:t>2</w:t>
            </w:r>
            <w:r w:rsidRPr="001735B4">
              <w:t>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300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300 и более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3. Предприятия общественного питания (вместимость, чел.)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50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</w:tc>
        <w:tc>
          <w:tcPr>
            <w:tcW w:w="146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Не требуется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50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Более 2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50 - 200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200 - 1000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0" w:type="auto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Более 1000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Размещаемые в цоколе (подвале)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4. Бани и банно-оздоровительные комплексы (кол-во мест, чел.)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20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20 и более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Встроенные бани (сауны) рассматриваются как самостоятельные зоны</w:t>
            </w: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5. Предприятия торговли (магазины, рынки) (площадь пожарного отсека, м</w:t>
            </w:r>
            <w:r w:rsidRPr="001735B4">
              <w:rPr>
                <w:vertAlign w:val="superscript"/>
              </w:rPr>
              <w:t>2</w:t>
            </w:r>
            <w:r w:rsidRPr="001735B4">
              <w:t>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500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500 - 3500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3500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Торговые залы площадью более 100 м</w:t>
            </w:r>
            <w:r w:rsidRPr="001735B4">
              <w:rPr>
                <w:vertAlign w:val="superscript"/>
              </w:rPr>
              <w:t>2</w:t>
            </w:r>
            <w:r w:rsidRPr="001735B4">
              <w:t xml:space="preserve"> в зданиях иного назначения рассматриваются как самостоятельные зоны</w:t>
            </w: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Торговые залы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Без ест. освещения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 xml:space="preserve">6. Дошкольные учреждения (число мест)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100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100 - 150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151 - 350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В дошкольных учреждениях оповещается только служебный персонал. При размещении в одном здании дошкольных учреждений и начальной школы (или жилых помещений для персонала) общей вместимостью более 50 человек они выделяются в самостоятельные зоны оповещения. В школе оповещается сначала персонал, затем учащиеся</w:t>
            </w: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Специальные детские учреждения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7. Школы и учебные корпуса школ-интернатов</w:t>
            </w:r>
            <w:r w:rsidR="00D03C90" w:rsidRPr="001735B4">
              <w:t xml:space="preserve"> </w:t>
            </w:r>
            <w:r w:rsidRPr="001735B4">
              <w:t>(число мест в здании, чел.)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270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270 - 350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351 - 1600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1600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Специальные школы и школы-интернаты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Спальные корпуса школ-интернатов и других детских домов (число мест в здании)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100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101 - 200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200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4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8. Учебные корпуса средних специальных и высших учебных заведений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4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4 - 9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Помещения аудиторий, актовых залов собраний и других зальных помещений с числом мест более 300, а также расположенных выше 6-го этажа с количеством мест менее 300 рассматриваются как самостоятельные зоны оповещения</w:t>
            </w: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9. Зрелищные учреждения (театры, цирки и др.):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круглогодичного действия (наибольшая вместимость зала, чел.)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300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300 - 800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800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сезонного действия: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а) закрытые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600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600 и более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б) открытые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800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800 и более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клубы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400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400 - 600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Более 600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Более 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10. Здания, крытые и открытые сооружения физкультурно-оздоровительного и спортивного назначения (число мест)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200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200 - 1000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1000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11. Лечебные учреждения (число койко-мест):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60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60 и более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Помещения лечебных,</w:t>
            </w:r>
            <w:r w:rsidR="00D03C90" w:rsidRPr="001735B4">
              <w:t xml:space="preserve"> </w:t>
            </w:r>
            <w:r w:rsidRPr="001735B4">
              <w:t>амбулаторно-поликлинических учреждений и аптек, расположенных в зданиях иного назначения, рассматриваются как самостоятельные зоны оповещения</w:t>
            </w: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психиатрические больницы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-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cantSplit/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амбулаторно-поликлинические учреждения (посещения в смену, чел.)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90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90 и более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 xml:space="preserve">12. Санатории, учреждения отдыха и туризма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10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10 и более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при наличии в спальных корпусах пищеблоков и помещений культурно-массового назначения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13. Детские оздоровительные лагеря: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круглогодичного действия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 xml:space="preserve">летние </w:t>
            </w:r>
            <w:r w:rsidRPr="001735B4">
              <w:rPr>
                <w:lang w:val="en-US"/>
              </w:rPr>
              <w:t>IV</w:t>
            </w:r>
            <w:r w:rsidRPr="001735B4">
              <w:t xml:space="preserve"> - </w:t>
            </w:r>
            <w:r w:rsidRPr="001735B4">
              <w:rPr>
                <w:lang w:val="en-US"/>
              </w:rPr>
              <w:t>V</w:t>
            </w:r>
            <w:r w:rsidRPr="001735B4">
              <w:t xml:space="preserve"> степени огнестойкости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14. Библиотеки и архивы: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при наличии читальных залов (кол-во мест более 50 чел.)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хранилища (книгохранилища)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15. Учреждения органов управления, проектно-конструкторские организации, НИИ, информационные центры и другие административные здания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6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6 - 16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16. Музеи и выставки (число посетителей)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500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500 - 1000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1000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3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3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17. Вокзалы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1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18. Гостиницы, общежития и кемпинги (вместимость, чел.)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50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50</w:t>
            </w: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3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3 - 9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Более 9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19. Жилые здания: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секционного типа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10</w:t>
            </w:r>
          </w:p>
        </w:tc>
        <w:tc>
          <w:tcPr>
            <w:tcW w:w="146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Не требуется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10 - 25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коридорного типа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До 10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10 - 25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20. Производственные здания и сооружения (категория здания)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А, Б, В, Г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Д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А, Б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В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Г, Д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</w:t>
            </w: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2 - 6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2 - 8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2 - 10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</w:p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1 тип СОУЭ допускается совмещать с селекторной связью.</w:t>
            </w:r>
          </w:p>
        </w:tc>
      </w:tr>
      <w:tr w:rsidR="00E87C2F" w:rsidRPr="001735B4" w:rsidTr="00012508">
        <w:trPr>
          <w:jc w:val="center"/>
        </w:trPr>
        <w:tc>
          <w:tcPr>
            <w:tcW w:w="117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Территории объектов по взрывопожарной опасности (производства, склады, базы и т.п.)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*</w:t>
            </w:r>
          </w:p>
        </w:tc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7C2F" w:rsidRPr="001735B4" w:rsidRDefault="00E87C2F" w:rsidP="00012508">
            <w:pPr>
              <w:spacing w:line="360" w:lineRule="auto"/>
            </w:pPr>
            <w:r w:rsidRPr="001735B4">
              <w:t>СОУЭ зданий с категорией А и Б должны быть сблокированы с технологической или пожарной автоматикой</w:t>
            </w:r>
          </w:p>
        </w:tc>
      </w:tr>
    </w:tbl>
    <w:p w:rsidR="00D03C90" w:rsidRDefault="00D03C90" w:rsidP="00012508">
      <w:pPr>
        <w:spacing w:line="360" w:lineRule="auto"/>
        <w:ind w:firstLine="720"/>
        <w:jc w:val="both"/>
        <w:rPr>
          <w:sz w:val="28"/>
          <w:szCs w:val="28"/>
        </w:rPr>
      </w:pP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Примечания.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1. Требуемый тип СОУЭ определяется по значению нормативного показателя. Если число этажей более, чем допускает данный тип СОУЭ для зданий данного функционального назначения, или в таблице 2 нет значения нормативного показателя, то требуемый тип СОУЭ определяется по числу этажей здания.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2. Под нормативным показателем площади пожарного отсека в настоящих нормах понимается площадь этажа между противопожарными стенами.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3. На объектах, где в соответствии с таблицей 2 требуется оборудование здания СОУЭ 4 или 5 типа, окончательное решение по выбору СОУЭ принимается проектной организацией.</w:t>
      </w:r>
    </w:p>
    <w:p w:rsidR="00E87C2F" w:rsidRPr="00D03C90" w:rsidRDefault="00E87C2F" w:rsidP="00012508">
      <w:pPr>
        <w:spacing w:line="360" w:lineRule="auto"/>
        <w:ind w:firstLine="720"/>
        <w:jc w:val="both"/>
        <w:rPr>
          <w:sz w:val="28"/>
          <w:szCs w:val="28"/>
        </w:rPr>
      </w:pPr>
      <w:r w:rsidRPr="00D03C90">
        <w:rPr>
          <w:sz w:val="28"/>
          <w:szCs w:val="28"/>
        </w:rPr>
        <w:t>4. В помещениях и зданиях, где находятся (работают, проживают, проводят досуг) люди с физическими недостатками (слабовидящие, слабослышащие), СОУЭ должна учитывать эти особенности.</w:t>
      </w:r>
      <w:bookmarkStart w:id="5" w:name="_GoBack"/>
      <w:bookmarkEnd w:id="5"/>
    </w:p>
    <w:sectPr w:rsidR="00E87C2F" w:rsidRPr="00D03C90" w:rsidSect="00012508">
      <w:pgSz w:w="11906" w:h="16838" w:code="9"/>
      <w:pgMar w:top="1134" w:right="851" w:bottom="1134" w:left="170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508"/>
    <w:rsid w:val="00012508"/>
    <w:rsid w:val="001735B4"/>
    <w:rsid w:val="007A2B10"/>
    <w:rsid w:val="007B5D5A"/>
    <w:rsid w:val="00D03C90"/>
    <w:rsid w:val="00E87C2F"/>
    <w:rsid w:val="00F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FFE06B-E458-4954-B998-F748BD7A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ind w:left="284"/>
      <w:outlineLvl w:val="0"/>
    </w:pPr>
    <w:rPr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НПБ 104-03</vt:lpstr>
    </vt:vector>
  </TitlesOfParts>
  <Company/>
  <LinksUpToDate>false</LinksUpToDate>
  <CharactersWithSpaces>16393</CharactersWithSpaces>
  <SharedDoc>false</SharedDoc>
  <HyperlinkBase>http://secpro.narod.ru/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НПБ 104-03</dc:title>
  <dc:subject/>
  <dc:creator>Павел Князев</dc:creator>
  <cp:keywords/>
  <dc:description/>
  <cp:lastModifiedBy>admin</cp:lastModifiedBy>
  <cp:revision>2</cp:revision>
  <dcterms:created xsi:type="dcterms:W3CDTF">2014-03-02T10:10:00Z</dcterms:created>
  <dcterms:modified xsi:type="dcterms:W3CDTF">2014-03-02T10:10:00Z</dcterms:modified>
</cp:coreProperties>
</file>