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95" w:rsidRPr="004D112C" w:rsidRDefault="00D86795" w:rsidP="00D86795">
      <w:pPr>
        <w:spacing w:before="120"/>
        <w:jc w:val="center"/>
        <w:rPr>
          <w:b/>
          <w:sz w:val="32"/>
        </w:rPr>
      </w:pPr>
      <w:r w:rsidRPr="004D112C">
        <w:rPr>
          <w:b/>
          <w:sz w:val="32"/>
        </w:rPr>
        <w:t>Сметное дело в строительстве</w:t>
      </w:r>
    </w:p>
    <w:p w:rsidR="00D86795" w:rsidRPr="004D112C" w:rsidRDefault="00D86795" w:rsidP="00D86795">
      <w:pPr>
        <w:spacing w:before="120"/>
        <w:jc w:val="center"/>
        <w:rPr>
          <w:sz w:val="28"/>
        </w:rPr>
      </w:pPr>
      <w:r w:rsidRPr="004D112C">
        <w:rPr>
          <w:sz w:val="28"/>
        </w:rPr>
        <w:t>Соколова О.Д., преподаватель практического курса  Института прикладной автоматизации  и программирования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«ПРОЧИЕ РАБОТЫ И ЗАТРАТЫ» СВОДНОГО СМЕТНОГО РАСЧЕТА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СТОИМОСТИ СТРОИТЕЛЬСТВА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Само название главы указывает, что в нее включаются все работы и затраты не нашедшие отражения в предыдущих главах Сводного сметного расчета. Начнем с затрат, наиболее часто встречающихся.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I.(а) Дополнительные затраты при производстве строительно-монтажных работ в зимнее время (графы 4, 5 и 8)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Дополнительные затраты при производстве строительно-монтажных работ в зимний период (зимние удорожания) для нового строительства, реконструкции и технического перевооружения определяются по нормативам «Сборника сметных норм дополнительных затрат при производстве строительно-монтажных работ в зимнее время» (ГСН 81-05-02-2007), рекомендованного к применению письмом Росстроя РФ от 28.03.07 №СК-1221/02 взамен сборника сметных норм дополнительных затрат при производстве строительно-монтажных работ в зимнее время (ГСН 81-05-02-2001), введенного в действие постановлением Госстроя РФ от 19.06.2001 № 62.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Эти затраты учитывают все дополнительные факторы и затраты, возникающие при выполнении работ при отрицательных температурах, а именно: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1. Факторы, влияющие на снижение производительности труда: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стесненность движения рабочих теплой одеждой и неудобством работы в рукавицах;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ухудшение видимости в зимнее время на рабочем месте;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наличие на рабочем месте льда и снега;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обледенение обуви, материалов, конструкций и инструментов;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необходимость в процессе работы периодически очищать от снега рабочее место, материалы и т.п.;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потери рабочего времени, связанные с перерывом в работе для обогревания рабочих при температуре наружного воздуха от -20°С до -35°С и за счет сокращения рабочего дня при температуре ниже -30°С;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снижение в зимний период производительности строительных машин и механизмов.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Усложнения в технологических процессах, вызываемые низкой температурой (подготовка временных сооружений для обогревания рабочих, утепление временных водопроводных сетей и баков, применение средств утепления бетона и раствора при транспортировке);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Необходимость использования специальных методов производства строительно-монтажных работ при отрицательной температуре наружного воздуха: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рыхление мерзлых грунтов;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предохранение грунтов от промерзания;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оттаивание грунтов;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применение быстротвердеющих бетонов и растворов;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введение в бетоны и растворы химических добавок;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применение электропрогрева бетона;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прогрев изделий, концов труб и кабеля;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устройство и разборка обычных тепляков - простейших технологических укрытий, в т.ч. брезентовых, пленочных, щитовых и т.п.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ограждение рабочих мест от снежных заносов и т.п.;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Дополнительные расходы и потери материалов при выполнении работ в зимнее время.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Отопление зданий при производстве отделочных и других специальных работ.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Сметные нормы дополнительных затрат при производстве строительно-монтажных работ в зимнее время определены в процентах от сметной стоимости строительно-монтажных работ (СМР) и приведены в трех разделах: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Раздел I «Сметные нормы по видам строительства»;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Раздел II «Сметные нормы дополнительных затрат по конструкциям и видам работ»;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Раздел III</w:t>
      </w:r>
      <w:r>
        <w:t xml:space="preserve"> </w:t>
      </w:r>
      <w:r w:rsidRPr="00A5223A">
        <w:t>«Сметные нормы на временное отопление зданий».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Нормы раздела I используются при составлении сметной документации и определения сметного лимита на дополнительные затраты, связанные с производством работ в зимнее время, а также могут применяться для расчетов за выполненные работы между заказчиком и исполнителем.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Нормы раздела II применяются при осуществлении расчетов за выполненные строительные и монтажные работы между генподрядными и субподрядными организациями независимо от ведомственной принадлежности.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Нормы Раздела III применяются при определении затрат на временное отопление зданий, законченных вчерне, и при расчетах за выполненные работы по временному отоплению указанных зданий. Нормы этого раздела используются при разработке сметных норм по видам строительства.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Нормы дополнительных затрат установлены по температурным зонам в зависимости от температурных условий зимнего периода (восемь зон) и по средним значениям удельного веса продолжительности зимнего времени в году.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Температурная зона и продолжительность расчетного зимнего периода для регионов приведена в приложении № 1 к сборнику ГЭСН 81-05-02-2001, независимо от фактической температуры наружного воздуха при производстве работ.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В тех случаях, когда продолжительность зимнего периода на отдельных частях территории, отнесенной к определенной температурной зоне, отличается от среднезональной, к сумме дополнительных затрат, которые исчислены по среднезимним нормам раздела I, или к нормативу следует применять коэффициенты, приведенные в указанном выше приложении № 1.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I (б). Дополнительные затраты при производстве ремонтно-строительных работ в зимнее время (графы 4, 5 и 8)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Как и при новом строительстве дополнительные затраты при производстве ремонтно-строительных работ в зимнее время определяются на основании сметных норм. Сметные нормативы установлены в «Сборнике сметных норм дополнительных затрат при производстве ремонтно-строительных работ в зимнее время» (ГСНр 81-05-02-2001), утвержденном и введенном в действие с 01 июня 2001 года Постановлением Госстроя России от 19.06.2001 года № 61.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Нормы дополнительных затрат по разделу 1 табл. 2 предназначены для определения сметной стоимости капитального ремонта, охватывающего здание в целом, и распространяются на все виды работ, относящиеся к ремонтируемому зданию, в том числе на ремонт дворовых сетей и элементов внешнего благоустройства.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Нормы, предусмотренные разделом 2 табл. 2, предназначены для определения дополнительных затрат при капитальном ремонте отдельных элементов (конструкций, инженерных сетей) жилых, общественных и производственных зданий с сопутствующими работами.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Нормы, предусмотренные разделами 3 и 4 табл. 2, предназначены для определения дополнительных затрат при капитальном ремонте наружных коммуникаций и объектов благоустройства без ремонта внутренних помещений зданий.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Дополнительные затраты при производстве ремонтно-строительных работ в зимнее время на объектах промышленного строительства следует определять по нормам раздела 1 табл. 4 ГСН 81-05-02-2007 с применением к ним коэффициента 0,8.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II. Затраты на содержание действующих постоянных автомобильных дорог и восстановление их после окончания строительства (графы 4 и 8)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Затраты на содержание действующих постоянных автомобильных дорог и восстановление их после окончания строительства, определяются локальным сметным расчетом на основе проекта организации строительства (ПОС) в соответствии с проектными объемами работ по расценкам сборника № 27 «Автомобильные дороги».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III. 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 (графы 7 и 8)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Затраты по перевозке автомобильным транспортом работников строительных и монтажных организаций, а также компенсация расходов по организации специальных маршрутов городского пассажирского транспорта, определяются расчетами на основе ПОС с учетом обосновывающих данных транспортных предприятий.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IV. Затраты, связанные с осуществлением работ вахтовым методом (за исключением вахтовой надбавки к тарифной ставке, учитываемой в локальных сметах) (графы 7 и 8)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Затраты, связанные с осуществлением работ вахтовым методом определяются расчетами на основе ПОС, которые должны учитывать затраты на содержание и эксплуатацию вахтовых поселков, перевозку вахтовых рабочих до места вахты и оплату суточных в период нахождения в пути.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V. Затраты, связанные с использованием военно-строительных частей, студенческих отрядов и других контингентов (организованный набор рабочих) (графы 7 и 8)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Затраты, связанные с использованием военно-строительных частей, студенческих отрядов и других контингентов определяются аналогично затратам на осуществление работ вахтовым методом. Т.е. расчетами на основе ПОС с учетом затрат на содержание и эксплуатацию строительных поселков, перевозку до места поселения и оплату суточных в период нахождения в пути.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VI. Затраты, связанные с командированием рабочих для выполнения строительных, монтажных и специальных строительных работ (графы 7 и 8)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Затраты, связанные с командированием рабочих для выполнения строительных, монтажных и специальных строительных работ, определяются расчетами на основании ПОС, исходя из #M12291 901828514постановления Правительства Российской Федерации от 02.10.2002 № 729#S.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При оплате суточных в больших размерах, чем установлено на текущий момент правительством, разница оплачивается за счет прибыли подрядных организаций.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Если перевозка работников осуществляется собственным или арендованным транспортом строительной организации, затраты на проезд в командировочные расходы не включаются, а учитываются как затраты по перевозке работников строительных и монтажных организаций</w:t>
      </w:r>
      <w:r>
        <w:t xml:space="preserve"> </w:t>
      </w:r>
      <w:r w:rsidRPr="00A5223A">
        <w:t>автомобильным транспортом. (см. п. III). Вопрос о необходимости командировок решается в каждом конкретном случае в ПОС исходя из дальности расстояния до объекта, условий транспортного сообщения, характера выполняемых работ, а также необходимости создания работнику условий для отдыха.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Затраты, связанные с перебазированием строительно-монтажных организаций с одной стройки на другую (графы 7 и 8).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Затраты, связанные с перебазированием строительно-монтажных организаций с одной стройки на другую, определяются расчетами на основании ПОС.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VIII. Затраты, связанные с премированием за ввод в действие построенных объектов (графы 7 и 8)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Затраты на премирование за ввод в действие производственных мощностей и объектов строительства должны исчисляться от текущей стоимости строительно-монтажных работ по объекту (по графам 4 и 5) от итога полной стоимости, с учетом резерва средств на непредвиденные расходы и затраты.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Размеры средств на премирование за ввод в действие в срок объектов строительства в процентах от сметной стоимости строительно-монтажных работ следует принимать по письмам Минтруда СССР и Госстроя СССР от 10.10.1991 № 1336-ВК/1-Д. 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Порядок определения размера средства на премирование за ввод в действие производственных мощностей и объектов строительства, а также порядок распределения премии должен быть установлен при согласовании договорной цены на строительство объектов и заключении договора строительного подряда.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IX. Средства на покрытие затрат строительных организаций по добровольному страхованию работников и имущества, в том числе строительных рисков (графы 7 и 8).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Средства на покрытие затрат строительных организаций по добровольному страхованию работников и имущества, в том числе строительных рисков, определяются расчетом, согласно #M12293 0 901765862 1265885411 7716003 2255137399 2822 4215037875 3325399512 4294967262 250049143статей 255#S, #M12293 1 901765862 1265885411 7716315 2255137399 2822 2486836697 4 3717554297 391561453263 Налогового кодекса РФ,#S но не более 3% от итогов по предыдущим главам сводного сметного расчета.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X. Средства на организацию и проведение подрядных торгов (тендеров) (графы 7 и 8)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Эти средства определяются на основании расчетов по видам затрат на проведение подрядных торгов «Методическими рекомендациями по определению стоимости затрат, связанных с проведением подрядных торгов в Российской Федерации», разработанных ЦНИИЭУС Госстроя РФ и утвержденных Межведомственной комиссией по подрядным торгам при Госстрое РФ 12.02.1999. Приведены в структуре базового норматива для определения стоимости затрат на проведение открытых подрядных торгов виды затрат и их размер от предполагаемой стоимости подряда. Общая величина базового норматива по этим рекомендациям составляет 0,42% от предполагаемой стоимости подряда. При определении средств на организацию и проведение подрядных торгов для конкретного объекта этот размер может уточняться.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XI. Затраты на проведение специальных мероприятий по обеспечению нормальных условий труда (борьба с радиоактивностью, силикозом, малярией, энцефалитным клещом, гнусом и др.) (графы 7 и 8)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Затраты на проведение специальных мероприятий по обеспечению нормальных условий труда</w:t>
      </w:r>
      <w:r>
        <w:t xml:space="preserve"> </w:t>
      </w:r>
      <w:r w:rsidRPr="00A5223A">
        <w:t xml:space="preserve">определяются расчетами на основании ПОС. 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XII. Затраты по содержанию горноспасательной службы (графы 7 и 8)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>Затраты по содержанию горноспасательной службы принимаются на основе нормативов, утвержденных в установленном порядке.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При отсутствии этих затрат в указанной главе допускается производить оплату за счет резерва средств на непредвиденные работы и затраты заказчика. </w:t>
      </w:r>
    </w:p>
    <w:p w:rsidR="00D86795" w:rsidRPr="00A5223A" w:rsidRDefault="00D86795" w:rsidP="00D86795">
      <w:pPr>
        <w:spacing w:before="120"/>
        <w:ind w:firstLine="567"/>
        <w:jc w:val="both"/>
      </w:pPr>
      <w:r w:rsidRPr="00A5223A">
        <w:t xml:space="preserve">Расходы, связанные с оплатой услуг горноспасательных частей по ликвидации аварий и обеспечению безопасности работ при производстве подземных горно-капитальных работ, учтены в составе накладных расходов. 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По вопросу оформления в статистической отчетности расходов по содержанию горноспасательной службы следует обращаться в Росстат.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XIII. Затраты на проведение пусконаладочных работ (графы 7 и 8).</w:t>
      </w:r>
    </w:p>
    <w:p w:rsidR="00D86795" w:rsidRDefault="00D86795" w:rsidP="00D86795">
      <w:pPr>
        <w:spacing w:before="120"/>
        <w:ind w:firstLine="567"/>
        <w:jc w:val="both"/>
      </w:pPr>
      <w:r w:rsidRPr="00A5223A">
        <w:t>Включаются затраты на проведение пусконаладочных работ «вхолостую». Размер средств определяется на основании смет на пусконаладочные работы.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95"/>
    <w:rsid w:val="00144016"/>
    <w:rsid w:val="003552D4"/>
    <w:rsid w:val="004D112C"/>
    <w:rsid w:val="005A3966"/>
    <w:rsid w:val="00811DD4"/>
    <w:rsid w:val="00A5223A"/>
    <w:rsid w:val="00D86795"/>
    <w:rsid w:val="00F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AC7399-B75B-497B-B0DA-80DDD0C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7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Сметное дело в строительстве</vt:lpstr>
    </vt:vector>
  </TitlesOfParts>
  <Company>Home</Company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Сметное дело в строительстве</dc:title>
  <dc:subject/>
  <dc:creator>User</dc:creator>
  <cp:keywords/>
  <dc:description/>
  <cp:lastModifiedBy>admin</cp:lastModifiedBy>
  <cp:revision>2</cp:revision>
  <dcterms:created xsi:type="dcterms:W3CDTF">2014-02-20T05:38:00Z</dcterms:created>
  <dcterms:modified xsi:type="dcterms:W3CDTF">2014-02-20T05:38:00Z</dcterms:modified>
</cp:coreProperties>
</file>