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84" w:rsidRPr="00413E2D" w:rsidRDefault="007E1F84" w:rsidP="007E1F84">
      <w:pPr>
        <w:spacing w:before="120"/>
        <w:jc w:val="center"/>
        <w:rPr>
          <w:b/>
          <w:bCs/>
          <w:sz w:val="32"/>
          <w:szCs w:val="32"/>
        </w:rPr>
      </w:pPr>
      <w:r w:rsidRPr="00413E2D">
        <w:rPr>
          <w:b/>
          <w:bCs/>
          <w:sz w:val="32"/>
          <w:szCs w:val="32"/>
        </w:rPr>
        <w:t>Соотношение транспортирующей способности потока и стока наносов как условие формирования разных типов русел</w:t>
      </w:r>
    </w:p>
    <w:p w:rsidR="007E1F84" w:rsidRPr="00413E2D" w:rsidRDefault="007E1F84" w:rsidP="007E1F84">
      <w:pPr>
        <w:spacing w:before="120"/>
        <w:ind w:firstLine="567"/>
        <w:jc w:val="both"/>
        <w:rPr>
          <w:sz w:val="28"/>
          <w:szCs w:val="28"/>
        </w:rPr>
      </w:pPr>
      <w:r w:rsidRPr="00413E2D">
        <w:rPr>
          <w:sz w:val="28"/>
          <w:szCs w:val="28"/>
        </w:rPr>
        <w:t>A.Н. Кондратьев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Расход наносов — количество наносов, проносимых потоком [1] (за единицу времени). Транспортирующая способность потока — предельный расход наносов, который способен транспортировать поток [1].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Из этих определений видно, что расход наносов не всегда равен транспортирующей способности потока. Транспортирующая способность потока (по отношению к несомым ею наносам) определяется гидравлическими характеристиками потока на этом участке реки и не зависит от количества приходящих наносов с расположенного выше участка реки.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Поэтому необходимо чётко разделить три понятия: поступление наносов на рассматриваемый участок реки с расположенного выше участка), транспортирующая способность потока (сколько наносов может перемещать поток), расход наносов, который представляет собой результирующую величину от поступления наносов и транспортирующей способности потока.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Независимо от транспортирующей способности потока поступление наносов может быть малым (мал), средним (ср) или большим (бол). В то же время транспортирующая способность потока может быть независимо от количества поступающих наносов также малой (мал), средней (ср) или большой (бол) (рис. 1а).</w:t>
      </w:r>
    </w:p>
    <w:p w:rsidR="007E1F84" w:rsidRPr="00E4656A" w:rsidRDefault="009669DE" w:rsidP="007E1F8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73.25pt">
            <v:imagedata r:id="rId4" o:title=""/>
          </v:shape>
        </w:pict>
      </w:r>
      <w:r>
        <w:pict>
          <v:shape id="_x0000_i1026" type="#_x0000_t75" style="width:219pt;height:173.25pt">
            <v:imagedata r:id="rId5" o:title=""/>
          </v:shape>
        </w:pict>
      </w:r>
    </w:p>
    <w:p w:rsidR="007E1F84" w:rsidRPr="00E4656A" w:rsidRDefault="009669DE" w:rsidP="007E1F84">
      <w:pPr>
        <w:spacing w:before="120"/>
        <w:ind w:firstLine="567"/>
        <w:jc w:val="both"/>
      </w:pPr>
      <w:r>
        <w:pict>
          <v:shape id="_x0000_i1027" type="#_x0000_t75" style="width:225pt;height:172.5pt">
            <v:imagedata r:id="rId6" o:title=""/>
          </v:shape>
        </w:pict>
      </w:r>
      <w:r>
        <w:pict>
          <v:shape id="_x0000_i1028" type="#_x0000_t75" style="width:213.75pt;height:172.5pt">
            <v:imagedata r:id="rId7" o:title=""/>
          </v:shape>
        </w:pict>
      </w:r>
    </w:p>
    <w:p w:rsidR="007E1F84" w:rsidRDefault="007E1F84" w:rsidP="007E1F84">
      <w:pPr>
        <w:spacing w:before="120"/>
        <w:ind w:firstLine="567"/>
        <w:jc w:val="both"/>
      </w:pPr>
      <w:r w:rsidRPr="00E4656A">
        <w:t>Рис. 1. Значения расхода наносов и типы руслового процесса при различном сочетании транспортирующей способности потока и поступления наносов с верхнего участка.</w:t>
      </w:r>
      <w:r>
        <w:t xml:space="preserve"> </w:t>
      </w:r>
    </w:p>
    <w:p w:rsidR="007E1F84" w:rsidRPr="00E4656A" w:rsidRDefault="007E1F84" w:rsidP="007E1F84">
      <w:pPr>
        <w:spacing w:before="120"/>
        <w:ind w:firstLine="567"/>
        <w:jc w:val="both"/>
      </w:pP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Результатом сочетания подачи наносов и транспортирующей способности потока является расход наносов. Запишем в таких же условных знаках (мал, ср, бол) получаемые величины расхода наносов. Расход наносов может быть больше поступления наносов сверху лишь при эрозии. Иначе дополнительному количеству наносов просто неоткуда взяться. С другой стороны, расход наносов не может быть больше, чем транспортирующая способность потока (по определению). Получаем значения расхода наносов при различных сочетаниях подачи наносов и транспортирующей способности, показанные на рис. 1б.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На рисунке 1в выделяются три характерные части: 1) диагональ, на которой поступление наносов, транспортирующая способность потока и расход наносов совпадают; 2) треугольная часть рисунка выше этой диагонали, в которой транспортирующая способность потока меньше поступающих наносов, а расход наносов равен транспортирующей способности; 3) часть ниже диагонали, в которой транспортирующая способность больше подачи наносов, а расход наносов равен поступлению наносов.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Косыми линиями поле разделено на 5 характерных частей, в которых в овалах указаны значения отношения транспортирующей способности к поступлению наносов.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 xml:space="preserve">Диагональ, на которой транспортирующая способность, поступление наносов и расход наносов равны, соответствует ленточногрядовому типу руслового процесса. 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Верхний треугольник соответствует случаю, когда транспортирующая способность меньше поступления наносов. То есть поступление наносов с расположенного выше участка большая, а транспортирующая способность потока на этом участке не достаточна для нормального транспорта этих предложенных реке наносов. Тип руслового процесса, соответствующий такому случаю — русловая многорукавность.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Нижний треугольник показывает, что транспортирующая способность больше поступления наносов. Все наносы, которые поступают сверху, перемещаются рекой, и этого по сравнению с транспортирующей способностью оказывается даже мало. В этом случае река начинает переносить влекомые наносы в виде побочней. Растрачивая лишь часть своей энергии на транспорт поступающих сверху наносов, она ещё начинает дополнительно деформировать берега, и поэтому — меандрировать (рис. 1г).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Таким образом, предлагаемый порядок типов руслового процессов можно связывать не с транспортирующей способностью потока (как, например, у Н.Е. Кондратьева и И.В. Попова [2]), и не с расходом наносов (как, например, у Б.Ф. Снищенко [2]), а с отношением транспортирующей способности потока к поступлению наносов с расположенного выше участка реки). Такое отношение логично назвать: “относительная транспортирующая способность”.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Рассмотрим, каков порядок изменений типов руслового процесса при увеличении расхода наносов (рис. 2). Жирными стрелками на рисунке показано увеличение расхода наносов.</w:t>
      </w:r>
    </w:p>
    <w:p w:rsidR="007E1F84" w:rsidRPr="00E4656A" w:rsidRDefault="009669DE" w:rsidP="007E1F84">
      <w:pPr>
        <w:spacing w:before="120"/>
        <w:ind w:firstLine="567"/>
        <w:jc w:val="both"/>
      </w:pPr>
      <w:r>
        <w:pict>
          <v:shape id="_x0000_i1029" type="#_x0000_t75" style="width:261pt;height:172.5pt">
            <v:imagedata r:id="rId8" o:title=""/>
          </v:shape>
        </w:pic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Рис. 2. Значения расхода наносов и типы руслового процесса при различном сочетании транспортирующей способности потока и поступления наносов с верхнего участка.</w:t>
      </w:r>
    </w:p>
    <w:p w:rsidR="007E1F84" w:rsidRDefault="007E1F84" w:rsidP="007E1F84">
      <w:pPr>
        <w:spacing w:before="120"/>
        <w:ind w:firstLine="567"/>
        <w:jc w:val="both"/>
      </w:pPr>
      <w:r w:rsidRPr="00E4656A">
        <w:t>Стрелками показано увеличение расхода наносов.</w:t>
      </w:r>
      <w:r>
        <w:t xml:space="preserve"> 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Горизонтальная стрелка показывает увеличение расхода наносов при постоянном поступлении наносов, но увеличении транспортирующей способности потока. Расход влекомых наносов увеличивается, приводя к изменению типа русла от русловой многорукавности к меандрированию.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Вертикальная стрелка показывает увеличение или постоянство расхода наносов, но при постоянной транспортирующей способности потока за счёт увеличения поступления наносов. Река перегружается наносами и начинает обтекать их, транспортировать “лишние” наносы по типу русловой многорукавности.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Поэтому принимать расход наносов за определяющий фактор типа руслового процесса можно лишь с оговоркой о том, за счёт чего происходит изменение расхода наносов - за счёт увеличения поступления наносов через верхний створ или за счёт увеличения транспортирующей способности потока (например, за счёт увеличения скоростей).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Рассмотрим порядок изменения типов руслового процесса при увеличении транспортирующей способности потока. На рисунке видно, что происходит изменение типов от русловой многорукавности к меандрированию, что противоположно выводам Н.Е.Кондратьева и И.В.Попова [2] (разрешение этого противоречия описано ниже).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Направление увеличения относительной транспортирующей способности таково: русловая многорукавность ® ленточногрядовый тип ® побочневый тип ® разные виды меандрирования. При русловой многорукавности относительная транспортирующая способность минимальна. Транспортирующая способность меньше предлагаемых реке наносов. При меандрировании относительная транспортирующая способность максимальна. Транспортирующая способность больше поступления наносов (рис. 2).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При меандрировании происходит уменьшение транспортирующей способности потока за счёт того, что уменьшается уклон поверхности потока из-за удлинения русла. Представим некое прямолинейное русло, в котором транспортирующая способность относительно велика. Разность между слишком большой транспортирующей способностью и малым поступлением наносов приводит к развитию меандрирования, удлинению русла и уменьшению транспортирующей способности.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Причинно-следственная цепочка образования меандрирования такова: транспортирующая способность потока велика по сравнению с поступлением наносов ® излишек энергии ® деформация берегов ® образование меандрирования ® уменьшение уклона водной поверхности ® уменьшение транспортирующей способности ® уравновешивание транспортирующей способности и поступления наносов ® меандрирование реки при динамическом равновесии.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При русловой многорукавности из-за увеличения фронта перемещения наносов транспортирующая способность потока увеличивается. Представим прямолинейное русло, в котором транспортирующая способность потока относительно мала, затем разность между малой транспортирующей способностью и относительно большим количеством поступающих наносов приводит к образованию осередков, распластыванию русла и уменьшению транспортирующей способности. По внешнему виду это начальное русло, будто бы, ничем не отличается от рассмотренного выше русла при образовании меандрирования.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Русловая многорукавность (по сравнению с тем гипотетическим руслом, из которого она получилась) имеет относительно большую транспортирующую способность. В реальном устойчивом русле, развивающемся по типу русловой многорукавности транспортирующая способность потока должна быть равна подаче наносов. Значит, в прямолинейном виде в этом случае транспортирующая способность потока была меньше подачи наносов. То есть относительная транспортирующая способность - маленькая (меньше единицы).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Причинно-следственная цепочка при образовании русловой многорукавности такова: поступление наносов превышает транспортирующую способность потока ® энергии на транспортирование всех наносов не хватает ® образование осерёдков из “лишних” наносов ® распластывание русла ® увеличение фронта транспорта наносов ® увеличение транспортирующей способности ® уравновешивание транспортирующей способности и поступления наносов ® русловая и осерёдковая многорукавность при динамическом равновесии.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 xml:space="preserve">Ленточногрядовый тип руслового процесса соответствует первоначальному равновесию поступления наносов и транспортирующей способности. Трансформации русла не происходит. 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Теперь представим изложенные выше соображения об изменении транспортирующей способности при образовании русловой многорукавности и меандрирования на едином рисунке (рис. 3). Из этого рисунка видно, что образование и русловой многорукавности, и меандрирования связано с неравновесным первоначальным состоянием потока. К образованию ленточногрядового типа приводит первоначальный баланс между транспортирующей способностью потока и поступлением наносов на участок.</w:t>
      </w:r>
    </w:p>
    <w:p w:rsidR="007E1F84" w:rsidRPr="00E4656A" w:rsidRDefault="009669DE" w:rsidP="007E1F84">
      <w:pPr>
        <w:spacing w:before="120"/>
        <w:ind w:firstLine="567"/>
        <w:jc w:val="both"/>
      </w:pPr>
      <w:r>
        <w:pict>
          <v:shape id="_x0000_i1030" type="#_x0000_t75" style="width:442.5pt;height:186pt">
            <v:imagedata r:id="rId9" o:title=""/>
          </v:shape>
        </w:pict>
      </w:r>
    </w:p>
    <w:p w:rsidR="007E1F84" w:rsidRDefault="007E1F84" w:rsidP="007E1F84">
      <w:pPr>
        <w:spacing w:before="120"/>
        <w:ind w:firstLine="567"/>
        <w:jc w:val="both"/>
      </w:pPr>
      <w:r w:rsidRPr="00E4656A">
        <w:t>Рис. 3. Схема образования русловой многорукавности и меандрирования.</w:t>
      </w:r>
      <w:r>
        <w:t xml:space="preserve"> </w:t>
      </w:r>
    </w:p>
    <w:p w:rsidR="007E1F84" w:rsidRPr="00E4656A" w:rsidRDefault="007E1F84" w:rsidP="007E1F84">
      <w:pPr>
        <w:spacing w:before="120"/>
        <w:ind w:firstLine="567"/>
        <w:jc w:val="both"/>
      </w:pP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Меандрирование образуется при неравновесном состоянии. Оно характеризуется первоначальным превышением энергии потока над предлагаемыми ей наносами. Относительная транспортирующая способность потока мала. Равновесное состояние достигается за счёт уменьшения уклона потока.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Русловая многорукавность образуется в случае, когда транспортирующая способнось потока мала по сравнению с поступающими наносами. Относительная транспортирующая способность потока мала. Равновесие достигается за счёт увеличения фронта транспорта наносов.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Ленточногрядовый тип соответствует равновесному состоянию сразу.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Этот рисунок показывает разрешение противоречия, состоящего в различии между направлением увеличения транспортирующей способности в типизации Н.Е. Кондратьева и И.В. Попова и описываемыми выше соображениями. Н.Е. Кондратьев считал, что при меандрировании транспортирующая способность мала, обосновывая это её уменьшением за счёт удлинения русла [2] (перемещение влево в правой части рисунка). Из уменьшения транспортирующей способности при образовании меандрирования нельзя делать вывод о малости её величины. Скорее — наоборот (см. [3]).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Главные аргументы в пользу большой транспортирующей способности потока при русловой многорукавности и малой транспортирующей способности при меандрировании на самом деле являются аргументами, доказывающими увеличение транспортирующей способности при образовании русловой многорукавности и уменьшение транспортирующей способности при образовании меандрирования. А рисунок 3 показывает увеличение транспортирующей способности при русловой многорукавности, потому что она была мала. И уменьшение транспортирующей способности при образовании меандрирования, потому что именно большая транспортирующая способность прямого русла относительно поступления в него наносов привела к образованию меандрирования. Именно большая транспортирующая способность привела к её уменьшению. Получилось меандрирование.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>Вывод: при равенстве транспортирующей способности потока и поступления наносов русло сохраняется прямолинейным; разность между транспортирующей способностью потока и поступлением наносов приводит либо к меандрированию (при большой транспортирующей способности), либо, наоборот, преобразуется в русловую многорукавность (при большом поступлении наносов).</w:t>
      </w:r>
    </w:p>
    <w:p w:rsidR="007E1F84" w:rsidRPr="003428F0" w:rsidRDefault="007E1F84" w:rsidP="007E1F84">
      <w:pPr>
        <w:spacing w:before="120"/>
        <w:jc w:val="center"/>
        <w:rPr>
          <w:b/>
          <w:bCs/>
          <w:sz w:val="28"/>
          <w:szCs w:val="28"/>
        </w:rPr>
      </w:pPr>
      <w:r w:rsidRPr="003428F0">
        <w:rPr>
          <w:b/>
          <w:bCs/>
          <w:sz w:val="28"/>
          <w:szCs w:val="28"/>
        </w:rPr>
        <w:t>Список литературы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 xml:space="preserve">Чеботарев А.И. Гидрологический словарь. Л.: Гидрометеоиздат, 1978, 308 с. 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 xml:space="preserve">Кондратьев Н.Е., Попов И.В., Снищенко Б.Ф. Основы гидроморфологической теории руслового процесса. - Л. : Гидрометеоиздат, 1982. - 272 с. </w:t>
      </w:r>
    </w:p>
    <w:p w:rsidR="007E1F84" w:rsidRPr="00E4656A" w:rsidRDefault="007E1F84" w:rsidP="007E1F84">
      <w:pPr>
        <w:spacing w:before="120"/>
        <w:ind w:firstLine="567"/>
        <w:jc w:val="both"/>
      </w:pPr>
      <w:r w:rsidRPr="00E4656A">
        <w:t xml:space="preserve">Маккавеев Н.И., Чалов Р.С. Русловые процессы. - М.: МГУ, 1988. - 264 с.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F84"/>
    <w:rsid w:val="00002B5A"/>
    <w:rsid w:val="0010437E"/>
    <w:rsid w:val="00316F32"/>
    <w:rsid w:val="003428F0"/>
    <w:rsid w:val="00413E2D"/>
    <w:rsid w:val="005155CD"/>
    <w:rsid w:val="00616072"/>
    <w:rsid w:val="006A5004"/>
    <w:rsid w:val="00710178"/>
    <w:rsid w:val="007441B6"/>
    <w:rsid w:val="007E1F84"/>
    <w:rsid w:val="008711DD"/>
    <w:rsid w:val="008B35EE"/>
    <w:rsid w:val="00905CC1"/>
    <w:rsid w:val="009669DE"/>
    <w:rsid w:val="00B42C45"/>
    <w:rsid w:val="00B47B6A"/>
    <w:rsid w:val="00C46A70"/>
    <w:rsid w:val="00E4656A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6BE48D7-274E-4736-857A-90962FC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84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15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Соотношение транспортирующей способности потока и стока наносов как условие формирования разных типов русел</vt:lpstr>
    </vt:vector>
  </TitlesOfParts>
  <Company>Home</Company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транспортирующей способности потока и стока наносов как условие формирования разных типов русел</dc:title>
  <dc:subject/>
  <dc:creator>User</dc:creator>
  <cp:keywords/>
  <dc:description/>
  <cp:lastModifiedBy>admin</cp:lastModifiedBy>
  <cp:revision>2</cp:revision>
  <dcterms:created xsi:type="dcterms:W3CDTF">2014-02-15T01:55:00Z</dcterms:created>
  <dcterms:modified xsi:type="dcterms:W3CDTF">2014-02-15T01:55:00Z</dcterms:modified>
</cp:coreProperties>
</file>