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8BD" w:rsidRPr="00B11367" w:rsidRDefault="00E478BD" w:rsidP="00E478BD">
      <w:pPr>
        <w:spacing w:before="120"/>
        <w:jc w:val="center"/>
        <w:rPr>
          <w:b/>
          <w:bCs/>
          <w:sz w:val="32"/>
          <w:szCs w:val="32"/>
        </w:rPr>
      </w:pPr>
      <w:r w:rsidRPr="00B11367">
        <w:rPr>
          <w:b/>
          <w:bCs/>
          <w:sz w:val="32"/>
          <w:szCs w:val="32"/>
        </w:rPr>
        <w:t>Современная радиационно-экологическая обстановка на территории Брянской области</w:t>
      </w:r>
    </w:p>
    <w:p w:rsidR="00E478BD" w:rsidRPr="00B11367" w:rsidRDefault="00E478BD" w:rsidP="00E478BD">
      <w:pPr>
        <w:spacing w:before="120"/>
        <w:jc w:val="center"/>
        <w:rPr>
          <w:sz w:val="28"/>
          <w:szCs w:val="28"/>
        </w:rPr>
      </w:pPr>
      <w:r w:rsidRPr="00B11367">
        <w:rPr>
          <w:sz w:val="28"/>
          <w:szCs w:val="28"/>
        </w:rPr>
        <w:t>Ю.Г. Данилов, Т.В. Данилова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В результате аварии на ЧАЭС радиоактивному загрязнению более 1 Ки/км2 подверглась третья часть (11442 км2) Брянской области. Уровень гамма-фона 5 мая 1986 года составил в Брянском районе - 20 мкР/час, в г. Новозыбкове - 100 мкР/час, в г. Клинцы -250 мкР/час. 17 мая гамма-фон в Брянском районе достиг 20 мкР/час, в г. Новозыбкове 400 мкР/час, в Дятькове - 20 мкР/час (Мурах-танов Е,С, и др., 1994). В первые дни после аварии главную опасность представлял корот-коживущий изотоп 131J. К настоящему времени основными загрязнителями являются 90Sr и 137Cs.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В соответствии со степенью загрязнения произведено зонирование территории области. Зона проживания с льготным социально-экономическим статусом включает территории с плотностью загрязнения почв от 1 до 5 Ки/км2 и занимает 18,9% от площади области. Среднегодовая эффективная эквивалентная доза облучения населения не должна превышать 1 мЗв. Здесь природопользование не претерпело никаких изменений. Необходимо только осуществление периодического радиационного и медицинского контроля за состоянием здоровья населения.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В зоне проживания с правом отселения, с плотностью загрязнения от 5 до 15 Ки/км2 и занимающей 6,8% территории области. Граждане, проживающие в населенных пунктах со среднегодовой эффективной эквивалентной дозой облучения населения превышающей 1 мЗв и принявшие решение о выезде с этих мест, имеют право на получение компенсации за утраченное в связи с переездом имущество.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Зона отселения с плотностью загрязнения почв 137Cs от 15 до 40 Ки/км2,90Sr - свыше 3 Ки/км2 или Ри-239, Ри-240 свыше 0,1 Ки/км2 занимает 5,8% территории области. Проживание и природопользование здесь ограничено, должны проводиться обязательный медицинский контроль и специальные мероприятия по радиационной защите и реабилитации территории.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В зоне отчуждения с плотностью загрязнения более 40 Ки/км2 и занимающей 1,3% территории области запрещается постоянное проживание, ограничивается хозяйственная деятельность и природопользование. Тем не менее еще не все население до сих пор не выселено из этой зоны (табл. 1).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Проведенные Центром "Агрохимрадиология" исследования (Воробьев Г.Т. и др., 1993) показывают, что в настоящее время почвы сельскохозяйственных угодий области имеют еще достаточно высокую плотность загрязнения 137Cs. По сравнению с доаварийным периодом превышение составляет в среднем по области в 60 раз, по Красногорскому району -в 260 раз, а по Новозыбковскому - 300 раз. Средневзвешенная величина плотности загрязнения почв сельхозугодий по области снизилась с 9,59 Ки/км2 и 1989 году до 2,53 Ки/км2 в 1996 году. А за десять лет после аварии в семи юго-западных районах эта величина уменьшилась cll,0 до 5,7 Ки/км2 на пашне и с 13,7 до 11,6 Ки/км2 на сенокосах и пастбищах. За последние три года содержание радиоцезия в почвах пахотных угодий Красногорского района уменьшилось на 5,5%, Гордеевского на 15,4%, на сенокосах и пастбищах соответственно на 7,2 и 4,0%.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Основными факторами, снижающими уровень загрязнения радионуклидами являются естественный распад, миграционные особенности, специальные мероприятия, направленные на реабилитацию территории.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Но в последние годы наблюдается снижение объумов известкования (с 59,6 тыс. га в 1991 г. до 2 тыс. га в 1996 г.), фосфоритования (с 36,5 до 8,3 тыс. га), внесения органических удобрений (с 12,5 до 3,5 тыс. га), минеральных удобрений (с 253 до 30 кг/га д.в., в том числе калийных с 120 до 7 кг/га). Все это не замедлило сказаться на повышении содержания радионуклидов в сельскохозяйственной продукции и снижении плодородия почв.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Не в меньшей степени по сравнению с сельским хозяйством в результате аварии пострадало и лесное хозяйство. Примерно третья часть гослесфонда области оказалась на загрязненной территории, причем 25 км2 леса расположены в зоне отчуждения, 424 км2 -в зоне отселения, 240 км2 - в зоне с правом отселения и 1596 км2 - в зоне с льготным социально-экономическим статусом.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В лесах с плотностью загрязнения более 15 Ки/км2 были приостановлены все виды хозяйственной деятельности (за исключением противопожарной и лесозащитной). В лесах с загрязнением более 5 Ки/км2 запрещена заготовка недревесных ресурсов леса. Выпас скота и заготовка сена для молочного скота допускается только на угодьях с плотностью загрязнения до 2 Ки/км2.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Таблица 1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Распределение зон радиоактивного загрязнения по районам Брянской области (по данным Госкомитета по охране</w:t>
      </w:r>
      <w:r>
        <w:t xml:space="preserve"> </w:t>
      </w:r>
      <w:r w:rsidRPr="009B68AD">
        <w:t>окружающей среды Брянской области, 1997)</w:t>
      </w:r>
    </w:p>
    <w:tbl>
      <w:tblPr>
        <w:tblW w:w="5000" w:type="pct"/>
        <w:tblInd w:w="-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"/>
        <w:gridCol w:w="1995"/>
        <w:gridCol w:w="912"/>
        <w:gridCol w:w="1048"/>
        <w:gridCol w:w="1106"/>
        <w:gridCol w:w="912"/>
        <w:gridCol w:w="1048"/>
        <w:gridCol w:w="1106"/>
        <w:gridCol w:w="912"/>
        <w:gridCol w:w="1205"/>
        <w:gridCol w:w="1106"/>
        <w:gridCol w:w="912"/>
        <w:gridCol w:w="1205"/>
        <w:gridCol w:w="1106"/>
        <w:gridCol w:w="912"/>
        <w:gridCol w:w="614"/>
        <w:gridCol w:w="1106"/>
      </w:tblGrid>
      <w:tr w:rsidR="00E478BD" w:rsidRPr="009B68AD" w:rsidTr="00A573E1">
        <w:trPr>
          <w:trHeight w:val="442"/>
        </w:trPr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t-n.</w:t>
            </w:r>
          </w:p>
        </w:tc>
        <w:tc>
          <w:tcPr>
            <w:tcW w:w="6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Название района</w:t>
            </w:r>
          </w:p>
        </w:tc>
        <w:tc>
          <w:tcPr>
            <w:tcW w:w="8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O,5&lt;137Cs&lt;l (Ки/км2)/количесхво</w:t>
            </w: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K137Cs-&lt;5 (Ки/юу12)/количесхво</w:t>
            </w: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5&lt;137Cs-&lt;15 (Ки/юу12)/количесхво</w:t>
            </w:r>
          </w:p>
        </w:tc>
        <w:tc>
          <w:tcPr>
            <w:tcW w:w="8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15&lt;137Cs-&lt;4O (Ки/юу12)/коли чесхв о</w:t>
            </w: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137Cs&gt;4O (Ки/юу12)/коли чесхв о</w:t>
            </w:r>
          </w:p>
        </w:tc>
      </w:tr>
      <w:tr w:rsidR="00E478BD" w:rsidRPr="009B68AD" w:rsidTr="00A573E1">
        <w:trPr>
          <w:trHeight w:val="576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8BD" w:rsidRPr="009B68AD" w:rsidRDefault="00E478BD" w:rsidP="00A573E1">
            <w:r w:rsidRPr="009B68AD">
              <w:t>Нас.</w:t>
            </w:r>
          </w:p>
          <w:p w:rsidR="00E478BD" w:rsidRPr="009B68AD" w:rsidRDefault="00E478BD" w:rsidP="00A573E1">
            <w:r w:rsidRPr="009B68AD">
              <w:t>пунктов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8BD" w:rsidRPr="009B68AD" w:rsidRDefault="00E478BD" w:rsidP="00A573E1">
            <w:r w:rsidRPr="009B68AD">
              <w:t>^Кителей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8BD" w:rsidRPr="009B68AD" w:rsidRDefault="00E478BD" w:rsidP="00A573E1">
            <w:r w:rsidRPr="009B68AD">
              <w:t>Подворий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8BD" w:rsidRPr="009B68AD" w:rsidRDefault="00E478BD" w:rsidP="00A573E1">
            <w:r w:rsidRPr="009B68AD">
              <w:t>Нас.</w:t>
            </w:r>
          </w:p>
          <w:p w:rsidR="00E478BD" w:rsidRPr="009B68AD" w:rsidRDefault="00E478BD" w:rsidP="00A573E1">
            <w:r w:rsidRPr="009B68AD">
              <w:t>пунктов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8BD" w:rsidRPr="009B68AD" w:rsidRDefault="00E478BD" w:rsidP="00A573E1">
            <w:r w:rsidRPr="009B68AD">
              <w:t>^Кителей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8BD" w:rsidRPr="009B68AD" w:rsidRDefault="00E478BD" w:rsidP="00A573E1">
            <w:r w:rsidRPr="009B68AD">
              <w:t>Подворий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8BD" w:rsidRPr="009B68AD" w:rsidRDefault="00E478BD" w:rsidP="00A573E1">
            <w:r w:rsidRPr="009B68AD">
              <w:t>Нас.</w:t>
            </w:r>
          </w:p>
          <w:p w:rsidR="00E478BD" w:rsidRPr="009B68AD" w:rsidRDefault="00E478BD" w:rsidP="00A573E1">
            <w:r w:rsidRPr="009B68AD">
              <w:t>пунктов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8BD" w:rsidRPr="009B68AD" w:rsidRDefault="00E478BD" w:rsidP="00A573E1">
            <w:r w:rsidRPr="009B68AD">
              <w:t>!Ж1ихелей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8BD" w:rsidRPr="009B68AD" w:rsidRDefault="00E478BD" w:rsidP="00A573E1">
            <w:r w:rsidRPr="009B68AD">
              <w:t>Подворий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8BD" w:rsidRPr="009B68AD" w:rsidRDefault="00E478BD" w:rsidP="00A573E1">
            <w:r w:rsidRPr="009B68AD">
              <w:t>Нас.</w:t>
            </w:r>
          </w:p>
          <w:p w:rsidR="00E478BD" w:rsidRPr="009B68AD" w:rsidRDefault="00E478BD" w:rsidP="00A573E1">
            <w:r w:rsidRPr="009B68AD">
              <w:t>пунктов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8BD" w:rsidRPr="009B68AD" w:rsidRDefault="00E478BD" w:rsidP="00A573E1">
            <w:r w:rsidRPr="009B68AD">
              <w:t>!Ж1ихелей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8BD" w:rsidRPr="009B68AD" w:rsidRDefault="00E478BD" w:rsidP="00A573E1">
            <w:r w:rsidRPr="009B68AD">
              <w:t>Подворий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8BD" w:rsidRPr="009B68AD" w:rsidRDefault="00E478BD" w:rsidP="00A573E1">
            <w:r w:rsidRPr="009B68AD">
              <w:t>Нас.</w:t>
            </w:r>
          </w:p>
          <w:p w:rsidR="00E478BD" w:rsidRPr="009B68AD" w:rsidRDefault="00E478BD" w:rsidP="00A573E1">
            <w:r w:rsidRPr="009B68AD">
              <w:t>пунктов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8BD" w:rsidRPr="009B68AD" w:rsidRDefault="00E478BD" w:rsidP="00A573E1">
            <w:r w:rsidRPr="009B68AD">
              <w:t>~Жы тел ей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8BD" w:rsidRPr="009B68AD" w:rsidRDefault="00E478BD" w:rsidP="00A573E1">
            <w:r w:rsidRPr="009B68AD">
              <w:t>Подворий</w:t>
            </w:r>
          </w:p>
        </w:tc>
      </w:tr>
      <w:tr w:rsidR="00E478BD" w:rsidRPr="009B68AD" w:rsidTr="00A573E1">
        <w:trPr>
          <w:trHeight w:val="27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 .Брасовский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31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16211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35ОО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26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6124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2461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8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2. Брянский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3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475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191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7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З.Выгоничский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52ОО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2147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4О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18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8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4. Гордее веки и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1О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887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364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7324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ЗО26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2О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6914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2764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7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5 .Дубровский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8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б.Дяхьковсьсий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12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64995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9О93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31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2О48О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6373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7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7 . Жи ряхи н ски и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419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132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8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З.^Куковский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9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7ОЗ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312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7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9.3лынковский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9О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559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233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4915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1982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2О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11177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3947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8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 0. Карачаевский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41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27898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5747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1О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442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23О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7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 1 .Ютехнянский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8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12. Климов ски и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3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198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56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1О579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4732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54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2782О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8355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49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27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7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13.Клинтдовский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6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519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276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43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9223О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18183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62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11731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5О19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1974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894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8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14.Комаричсьсий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29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1245О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ЗО2О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16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25ОО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11ОО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7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1 5 .Красногорский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29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4725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2О71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26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11791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3849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6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1195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545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1О28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5О8</w:t>
            </w:r>
          </w:p>
        </w:tc>
      </w:tr>
      <w:tr w:rsidR="00E478BD" w:rsidRPr="009B68AD" w:rsidTr="00A573E1">
        <w:trPr>
          <w:trHeight w:val="28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 б.К^глинский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7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2О28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672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127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51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7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17.Навлинский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22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532О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24О1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13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19469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3933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8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 8.Новозыбковский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9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72О9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316О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44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5О476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1О433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7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 9 .Оогарский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59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254О7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9431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55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92О9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4261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8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2О.Г1очепской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9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 1 .Рогнединский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58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6855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2629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15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1695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655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307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22.Севской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7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SOS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35О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6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455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216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307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23.Схародубский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41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7985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34О8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118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4О119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13144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124О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576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307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24.Суземской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9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1О92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285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111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28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307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25.Сураж:с1сий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7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375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158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1О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1121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469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317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 6 . Трубчев ски и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33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2О531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457О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34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13284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ЗОО6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78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27.Унечский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7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153О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667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678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26О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-</w:t>
            </w:r>
          </w:p>
        </w:tc>
      </w:tr>
      <w:tr w:rsidR="00E478BD" w:rsidRPr="009B68AD" w:rsidTr="00A573E1">
        <w:trPr>
          <w:trHeight w:val="269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</w:tc>
      </w:tr>
      <w:tr w:rsidR="00E478BD" w:rsidRPr="009B68AD" w:rsidTr="00A573E1">
        <w:trPr>
          <w:trHeight w:val="307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ИТОГО;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387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2О1О89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45458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483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224843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61793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235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72ОЗО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25967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1О6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71785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1861О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1О28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5О8</w:t>
            </w:r>
          </w:p>
        </w:tc>
      </w:tr>
    </w:tbl>
    <w:p w:rsidR="00E478BD" w:rsidRPr="009B68AD" w:rsidRDefault="00E478BD" w:rsidP="00E478BD">
      <w:pPr>
        <w:spacing w:before="120"/>
        <w:ind w:firstLine="567"/>
        <w:jc w:val="both"/>
      </w:pPr>
      <w:r w:rsidRPr="009B68AD">
        <w:t>В связи с тем, что загрязненность ствола дерева вглубь резко падает (табл. 2) имеется возможность использовать такую древесину после снятия внешнего слоя. Вместе с тем, и в центральной части ствола возможны участки с повышенной плотностью загрязнения, что связано с ранее проводившимися испытаниями ядерного оружия и особенностями миграции радионуклидов в древесине (Замойс-кий В., Косовец Ю., 1994). Разрешается использовать строительные материалы с плотностью загрязнения до 370 Бк/кг для вновь строящихся жилых помещений и до 740 Бк/кг - для дорожного строительства и для производственных зданий. Накопление 137Cs зависит от древесной породы, почв, плотности загрязнения. По степени загрязнения обычно образуется следующий ряд: береза, дуб, осина, ольха, сосна. Поэтому древесина сосны может использоваться без ограничений при плотности загрязнения до 15 Ки/км2, с некоторыми ограничениями - до 40 Ки/км2. При переработке и дезактивации древесины содержание радионуклидов резко снижается, поэтому возможно получение скипидара, живицы, измельченной древесины, обрезного пиломатериала и на загрязненной территории. Лес является хорошим фиксатором радионуклидов. Так, до 95% 137Cs накапливается в лесной подстилке и в верхнем пятисантиметровом слое почвы, поэтому есть смысл во введении заповедного режима в лесах с высокой степенью загрязнения.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Одной из насущных проблем в области остается переселение граждан из радиоактивно загрязненных районов. С момента аварии и по состоянию на 01.01.97 г. было переселено или добровольно выехало более 50 тыс. человек (согласно Государственной прграмме в 1990-1995 гг. предусматривалось переселить ПО тыс. чел.). Максимальное количество переселенцев выехало в 1990г. - 17162 человека, а затем по различным причинам начался спад и в 1996 г. переселено только 1392 человека. Причем 1956 семей уже выехавшие в "чистые" районы годами стоят в очереди на получение жилья. Имеет место и обратный процесс. Это возвращение переселенцев в родные места и миграция населения из стран СНГ и "горячих точек" России.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Таблица 2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Удельная активность 137Cs в древесине сосны (Симонов А.С., Мельников В.С.,1995)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0"/>
        <w:gridCol w:w="1460"/>
        <w:gridCol w:w="1419"/>
        <w:gridCol w:w="1769"/>
        <w:gridCol w:w="1609"/>
        <w:gridCol w:w="1631"/>
      </w:tblGrid>
      <w:tr w:rsidR="00E478BD" w:rsidRPr="009B68AD" w:rsidTr="00A573E1">
        <w:trPr>
          <w:trHeight w:val="461"/>
        </w:trPr>
        <w:tc>
          <w:tcPr>
            <w:tcW w:w="94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Наименование зоны</w:t>
            </w:r>
            <w:r>
              <w:t xml:space="preserve"> </w:t>
            </w:r>
            <w:r w:rsidRPr="009B68AD">
              <w:t>бревна</w:t>
            </w:r>
          </w:p>
        </w:tc>
        <w:tc>
          <w:tcPr>
            <w:tcW w:w="1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Уд. активность 137Cs</w:t>
            </w:r>
          </w:p>
        </w:tc>
        <w:tc>
          <w:tcPr>
            <w:tcW w:w="91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Вид пиломате риала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Уд. активность 137Cs</w:t>
            </w:r>
          </w:p>
        </w:tc>
      </w:tr>
      <w:tr w:rsidR="00E478BD" w:rsidRPr="009B68AD" w:rsidTr="00A573E1">
        <w:trPr>
          <w:trHeight w:val="1008"/>
        </w:trPr>
        <w:tc>
          <w:tcPr>
            <w:tcW w:w="94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для почв д о 40 Ки/км2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для почв более</w:t>
            </w:r>
          </w:p>
          <w:p w:rsidR="00E478BD" w:rsidRPr="009B68AD" w:rsidRDefault="00E478BD" w:rsidP="00A573E1">
            <w:r w:rsidRPr="009B68AD">
              <w:t>40 Ки/км2</w:t>
            </w:r>
          </w:p>
        </w:tc>
        <w:tc>
          <w:tcPr>
            <w:tcW w:w="91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для почв до</w:t>
            </w:r>
          </w:p>
          <w:p w:rsidR="00E478BD" w:rsidRPr="009B68AD" w:rsidRDefault="00E478BD" w:rsidP="00A573E1">
            <w:r w:rsidRPr="009B68AD">
              <w:t>40 Ки/км2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для почв более</w:t>
            </w:r>
          </w:p>
          <w:p w:rsidR="00E478BD" w:rsidRPr="009B68AD" w:rsidRDefault="00E478BD" w:rsidP="00A573E1">
            <w:r w:rsidRPr="009B68AD">
              <w:t>40 Ки/км2</w:t>
            </w:r>
          </w:p>
        </w:tc>
      </w:tr>
      <w:tr w:rsidR="00E478BD" w:rsidRPr="009B68AD" w:rsidTr="00A573E1">
        <w:trPr>
          <w:trHeight w:val="442"/>
        </w:trPr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Кора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1,59* Ю-7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1,8*10-7</w:t>
            </w:r>
          </w:p>
        </w:tc>
        <w:tc>
          <w:tcPr>
            <w:tcW w:w="91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Горбыль с корой</w:t>
            </w:r>
          </w:p>
        </w:tc>
        <w:tc>
          <w:tcPr>
            <w:tcW w:w="8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1,51*10-8</w:t>
            </w:r>
          </w:p>
        </w:tc>
        <w:tc>
          <w:tcPr>
            <w:tcW w:w="83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5,8*10-8</w:t>
            </w:r>
          </w:p>
        </w:tc>
      </w:tr>
      <w:tr w:rsidR="00E478BD" w:rsidRPr="009B68AD" w:rsidTr="00A573E1">
        <w:trPr>
          <w:trHeight w:val="730"/>
        </w:trPr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Слои древесины: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</w:tc>
        <w:tc>
          <w:tcPr>
            <w:tcW w:w="91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82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83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  <w:p w:rsidR="00E478BD" w:rsidRPr="009B68AD" w:rsidRDefault="00E478BD" w:rsidP="00A573E1"/>
        </w:tc>
      </w:tr>
      <w:tr w:rsidR="00E478BD" w:rsidRPr="009B68AD" w:rsidTr="00A573E1">
        <w:trPr>
          <w:trHeight w:val="442"/>
        </w:trPr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Первый 1 см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4,67* Ю-9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з,б*ю-8</w:t>
            </w:r>
          </w:p>
        </w:tc>
        <w:tc>
          <w:tcPr>
            <w:tcW w:w="91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78BD" w:rsidRPr="009B68AD" w:rsidRDefault="00E478BD" w:rsidP="00A573E1">
            <w:r w:rsidRPr="009B68AD">
              <w:t>Горбыль без коры</w:t>
            </w:r>
          </w:p>
        </w:tc>
        <w:tc>
          <w:tcPr>
            <w:tcW w:w="8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78BD" w:rsidRPr="009B68AD" w:rsidRDefault="00E478BD" w:rsidP="00A573E1">
            <w:r w:rsidRPr="009B68AD">
              <w:t>1,94* Ю-10</w:t>
            </w:r>
          </w:p>
        </w:tc>
        <w:tc>
          <w:tcPr>
            <w:tcW w:w="83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78BD" w:rsidRPr="009B68AD" w:rsidRDefault="00E478BD" w:rsidP="00A573E1">
            <w:r w:rsidRPr="009B68AD">
              <w:t>2,4* Ю-8</w:t>
            </w:r>
          </w:p>
        </w:tc>
      </w:tr>
      <w:tr w:rsidR="00E478BD" w:rsidRPr="009B68AD" w:rsidTr="00A573E1">
        <w:trPr>
          <w:trHeight w:val="451"/>
        </w:trPr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Второй 1 см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8,4* Ю-10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1,8*10-8</w:t>
            </w:r>
          </w:p>
        </w:tc>
        <w:tc>
          <w:tcPr>
            <w:tcW w:w="91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82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83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8BD" w:rsidRPr="009B68AD" w:rsidRDefault="00E478BD" w:rsidP="00A573E1"/>
          <w:p w:rsidR="00E478BD" w:rsidRPr="009B68AD" w:rsidRDefault="00E478BD" w:rsidP="00A573E1"/>
        </w:tc>
      </w:tr>
      <w:tr w:rsidR="00E478BD" w:rsidRPr="009B68AD" w:rsidTr="00A573E1">
        <w:trPr>
          <w:trHeight w:val="442"/>
        </w:trPr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Третий 1 см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8,0*10-10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78BD" w:rsidRPr="009B68AD" w:rsidRDefault="00E478BD" w:rsidP="00A573E1">
            <w:r w:rsidRPr="009B68AD">
              <w:t>1,з*ю-8</w:t>
            </w:r>
          </w:p>
        </w:tc>
        <w:tc>
          <w:tcPr>
            <w:tcW w:w="91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Брус</w:t>
            </w:r>
          </w:p>
        </w:tc>
        <w:tc>
          <w:tcPr>
            <w:tcW w:w="8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7,95*10-10</w:t>
            </w:r>
          </w:p>
        </w:tc>
        <w:tc>
          <w:tcPr>
            <w:tcW w:w="83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U*io-8</w:t>
            </w:r>
          </w:p>
        </w:tc>
      </w:tr>
      <w:tr w:rsidR="00E478BD" w:rsidRPr="009B68AD" w:rsidTr="00A573E1">
        <w:trPr>
          <w:trHeight w:val="470"/>
        </w:trPr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Средняя часть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7,9*10-10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>
            <w:r w:rsidRPr="009B68AD">
              <w:t>U*io-8</w:t>
            </w:r>
          </w:p>
        </w:tc>
        <w:tc>
          <w:tcPr>
            <w:tcW w:w="91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82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  <w:p w:rsidR="00E478BD" w:rsidRPr="009B68AD" w:rsidRDefault="00E478BD" w:rsidP="00A573E1"/>
        </w:tc>
        <w:tc>
          <w:tcPr>
            <w:tcW w:w="83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BD" w:rsidRPr="009B68AD" w:rsidRDefault="00E478BD" w:rsidP="00A573E1"/>
          <w:p w:rsidR="00E478BD" w:rsidRPr="009B68AD" w:rsidRDefault="00E478BD" w:rsidP="00A573E1"/>
        </w:tc>
      </w:tr>
    </w:tbl>
    <w:p w:rsidR="00E478BD" w:rsidRPr="009B68AD" w:rsidRDefault="00E478BD" w:rsidP="00E478BD">
      <w:pPr>
        <w:spacing w:before="120"/>
        <w:ind w:firstLine="567"/>
        <w:jc w:val="both"/>
      </w:pPr>
      <w:r w:rsidRPr="009B68AD">
        <w:t>Исследования радиобиологов также приводят к неутешительным выводам, суть которых сводится к тому, достоверные реакции на хроническое облучение детей появляются уже при радиоактивной загрязненности местности 1-10 Ки/км2. Рост (накопление) дозы внутреннего облучения ведет к соответствующему подавлению защитных сил организма облучаемых, особенно ярко это проявляется у детей. Накопление радионуклидов в организме детей свыше 50 Бк/кг (1,35 нКи/кг) подавляет функции кроветворения, тканевого дыхания, угнетая тем самым функции центральной нервной системы (Михалев В.П., 1995).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В последние годы в связи с ухудшением положения в сельском хозяйстве и в целом в социальной сфере наблюдается возрастание содержания цезия в организме людей. Так, в г. Новозыбкове средняя активность нуклидов в организме возросла на 32%. В Злынковском районе число лиц, относящихся ко второй категории (содержание 137Cs от 189 до 675 нКи у взрослых и от 108 до 405 нКи - у детей) увеличилось с 24,7 до 40,6%; а к третьей (содержание 137Cs более 675 нКи у взрослых и 405 нКи - у детей) - с 2,8 до 14%.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Накопленные дозы внешнего облучения у 26% населения превышают 20 рад, 8% из них имеют дозу от 40 до 70 рад. Растет число психосоматических заболеваний и тяжелых форм туберкулеза. В пять раз чаще, по сравнению с доаварийным периодом, регистрируется рак щитовидной железы (Медицинские..., 1995).</w:t>
      </w:r>
    </w:p>
    <w:p w:rsidR="00E478BD" w:rsidRPr="00B11367" w:rsidRDefault="00E478BD" w:rsidP="00E478BD">
      <w:pPr>
        <w:spacing w:before="120"/>
        <w:jc w:val="center"/>
        <w:rPr>
          <w:b/>
          <w:bCs/>
          <w:sz w:val="28"/>
          <w:szCs w:val="28"/>
        </w:rPr>
      </w:pPr>
      <w:r w:rsidRPr="00B11367">
        <w:rPr>
          <w:b/>
          <w:bCs/>
          <w:sz w:val="28"/>
          <w:szCs w:val="28"/>
        </w:rPr>
        <w:t>Список литературы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Замойский В., Косовец Ю. Использование метода локального лазерного анализа для выявления следов химического и радиационного загрязнения местности путем анализа годовых колец сосны // Материалы международного семинара общественных организаций по социально-радиационно-эко-логическим проблемам. - М., 1994. - С. 25-21.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Михалев В.П. Радиационная гигиена в условиях радиоактивного загрязнения окружающей среды. - Брянск: БГПУ, 1995. - 123 с.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Медицинские последствия аварии на Чернобыльской АЭС. - М.: Б.и., 1995. - 160 с.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Радиационно-экологическая обстановка Брянской области / Мурахтанов Е.С.,Ахременко С.А., Акименков Н.В. и др. - Брянск: Б.и., 1994. - 80с.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Симонов А.С., Мельников B.C. Технология производства пиломатериалов из радиоактивно загрязненной древесины // Тезисы докладов координационного совещания и международной научно-практической конференции по современным проблемам древесиноведения. - Брянск, 1995. - С. 27-28.</w:t>
      </w:r>
    </w:p>
    <w:p w:rsidR="00E478BD" w:rsidRPr="009B68AD" w:rsidRDefault="00E478BD" w:rsidP="00E478BD">
      <w:pPr>
        <w:spacing w:before="120"/>
        <w:ind w:firstLine="567"/>
        <w:jc w:val="both"/>
      </w:pPr>
      <w:r w:rsidRPr="009B68AD">
        <w:t>Цезий-137 в почвах и продукции растениеводства Брянской, Калужской, Орловской и Тульской областей за 1986-1992 годы / Воробьев Г.Т., Гуча-нов Д.Е., Курганова А.А. и др. - Брянск: Грани, 1993.-86с.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8BD"/>
    <w:rsid w:val="00051FB8"/>
    <w:rsid w:val="00095BA6"/>
    <w:rsid w:val="00210DB3"/>
    <w:rsid w:val="0031418A"/>
    <w:rsid w:val="00350B15"/>
    <w:rsid w:val="00377A3D"/>
    <w:rsid w:val="004970DC"/>
    <w:rsid w:val="0052086C"/>
    <w:rsid w:val="005A2562"/>
    <w:rsid w:val="007317F1"/>
    <w:rsid w:val="00755964"/>
    <w:rsid w:val="008C19D7"/>
    <w:rsid w:val="009B68AD"/>
    <w:rsid w:val="00A44D32"/>
    <w:rsid w:val="00A573E1"/>
    <w:rsid w:val="00B11367"/>
    <w:rsid w:val="00E12572"/>
    <w:rsid w:val="00E4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08B802-F025-4CBD-846A-AE0ED812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B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7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1752</Words>
  <Characters>9989</Characters>
  <Application>Microsoft Office Word</Application>
  <DocSecurity>0</DocSecurity>
  <Lines>83</Lines>
  <Paragraphs>23</Paragraphs>
  <ScaleCrop>false</ScaleCrop>
  <Company>Home</Company>
  <LinksUpToDate>false</LinksUpToDate>
  <CharactersWithSpaces>11718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радиационно-экологическая обстановка на территории Брянской области</dc:title>
  <dc:subject/>
  <dc:creator>Alena</dc:creator>
  <cp:keywords/>
  <dc:description/>
  <cp:lastModifiedBy>admin</cp:lastModifiedBy>
  <cp:revision>2</cp:revision>
  <dcterms:created xsi:type="dcterms:W3CDTF">2014-02-19T10:39:00Z</dcterms:created>
  <dcterms:modified xsi:type="dcterms:W3CDTF">2014-02-19T10:39:00Z</dcterms:modified>
</cp:coreProperties>
</file>