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66" w:rsidRDefault="00FE2566" w:rsidP="006D3027">
      <w:pPr>
        <w:spacing w:before="120"/>
        <w:jc w:val="center"/>
        <w:rPr>
          <w:b/>
          <w:bCs/>
          <w:sz w:val="32"/>
          <w:szCs w:val="32"/>
        </w:rPr>
      </w:pPr>
    </w:p>
    <w:p w:rsidR="006D3027" w:rsidRPr="00597649" w:rsidRDefault="006D3027" w:rsidP="006D3027">
      <w:pPr>
        <w:spacing w:before="120"/>
        <w:jc w:val="center"/>
        <w:rPr>
          <w:b/>
          <w:bCs/>
          <w:sz w:val="32"/>
          <w:szCs w:val="32"/>
        </w:rPr>
      </w:pPr>
      <w:r w:rsidRPr="00597649">
        <w:rPr>
          <w:b/>
          <w:bCs/>
          <w:sz w:val="32"/>
          <w:szCs w:val="32"/>
        </w:rPr>
        <w:t>Спектр спиновых волн в антиферромагнетиках с неколлинеарными магнитными подрешетками</w:t>
      </w:r>
    </w:p>
    <w:p w:rsidR="006D3027" w:rsidRPr="00597649" w:rsidRDefault="006D3027" w:rsidP="006D3027">
      <w:pPr>
        <w:spacing w:before="120"/>
        <w:jc w:val="center"/>
        <w:rPr>
          <w:sz w:val="28"/>
          <w:szCs w:val="28"/>
        </w:rPr>
      </w:pPr>
      <w:r w:rsidRPr="00597649">
        <w:rPr>
          <w:sz w:val="28"/>
          <w:szCs w:val="28"/>
        </w:rPr>
        <w:t>Кызыргулов И.Р.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Как известно, кристалл </w:t>
      </w:r>
      <w:r w:rsidR="000278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pt">
            <v:imagedata r:id="rId4" o:title=""/>
          </v:shape>
        </w:pict>
      </w:r>
      <w:r w:rsidRPr="000D50F3">
        <w:t xml:space="preserve"> приближенно имеет коллинеарную антиферромагнитную структуру [1, 2]. Ряд экспериментальных работ указывает на наличие слабого ферромагнитного момента в плоскостях </w:t>
      </w:r>
      <w:r w:rsidR="000278CC">
        <w:pict>
          <v:shape id="_x0000_i1026" type="#_x0000_t75" style="width:27pt;height:15pt">
            <v:imagedata r:id="rId5" o:title=""/>
          </v:shape>
        </w:pict>
      </w:r>
      <w:r w:rsidRPr="000D50F3">
        <w:t xml:space="preserve">, направленного перпендикулярно плоскости и имеющего противоположные направления в соседних плоскостях [3, 4]. Ферромагнитный момент возникает при выходе магнитных моментов ионов </w:t>
      </w:r>
      <w:r w:rsidR="000278CC">
        <w:pict>
          <v:shape id="_x0000_i1027" type="#_x0000_t75" style="width:24pt;height:14.25pt">
            <v:imagedata r:id="rId6" o:title=""/>
          </v:shape>
        </w:pict>
      </w:r>
      <w:r w:rsidRPr="000D50F3">
        <w:t xml:space="preserve"> из базисной (001) плоскости при повороте их на небольшой угол вследствие поворота октаэдров </w:t>
      </w:r>
      <w:r w:rsidR="000278CC">
        <w:pict>
          <v:shape id="_x0000_i1028" type="#_x0000_t75" style="width:27pt;height:15pt">
            <v:imagedata r:id="rId7" o:title=""/>
          </v:shape>
        </w:pict>
      </w:r>
      <w:r w:rsidRPr="000D50F3">
        <w:t xml:space="preserve"> в ортофазе. Другими словами, магнитные моменты подворачиваются в плоскости (010) на малый угол [5]. Но поскольку в соседних плоскостях октаэдры развернуты в противофазе, это приводит к противоположной направленности ферромагнитных моментов в соседних плоскостях, что означает, антиферромагнитную модуляцию вдоль оси [001]. Из исследований инфракрасных спектров, неупругого рассеяния нейтронов и двухмагнонного рассеяния света определена величина угла скоса, которая оказалось равной </w:t>
      </w:r>
      <w:r w:rsidR="000278CC">
        <w:pict>
          <v:shape id="_x0000_i1029" type="#_x0000_t75" style="width:24.75pt;height:15.75pt">
            <v:imagedata r:id="rId8" o:title=""/>
          </v:shape>
        </w:pict>
      </w:r>
      <w:r w:rsidRPr="000D50F3">
        <w:t xml:space="preserve"> [4, 6].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Исследуем влияние неколлинеарности магнитных подрешеток на спектры спиновых волн в кристалле </w:t>
      </w:r>
      <w:r w:rsidR="000278CC">
        <w:pict>
          <v:shape id="_x0000_i1030" type="#_x0000_t75" style="width:42.75pt;height:15pt">
            <v:imagedata r:id="rId9" o:title=""/>
          </v:shape>
        </w:pict>
      </w:r>
      <w:r w:rsidRPr="000D50F3">
        <w:t xml:space="preserve"> как поправку к спектру, найденному в работе [7].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>Будем исходить из гамильтониана, в котором учитывается энергия магнитной системы: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31" type="#_x0000_t75" style="width:204.75pt;height:33pt">
            <v:imagedata r:id="rId10" o:title=""/>
          </v:shape>
        </w:pict>
      </w:r>
      <w:r w:rsidR="006D3027" w:rsidRPr="000D50F3">
        <w:t>,  (1)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32" type="#_x0000_t75" style="width:68.25pt;height:20.25pt">
            <v:imagedata r:id="rId11" o:title=""/>
          </v:shape>
        </w:pict>
      </w:r>
      <w:r w:rsidR="006D3027" w:rsidRPr="000D50F3">
        <w:t xml:space="preserve"> ,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где </w:t>
      </w:r>
      <w:r w:rsidR="000278CC">
        <w:pict>
          <v:shape id="_x0000_i1033" type="#_x0000_t75" style="width:15.75pt;height:18.75pt">
            <v:imagedata r:id="rId12" o:title=""/>
          </v:shape>
        </w:pict>
      </w:r>
      <w:r w:rsidRPr="000D50F3">
        <w:t xml:space="preserve">- тензор однородного обменного взаимодействия, </w:t>
      </w:r>
      <w:r w:rsidR="000278CC">
        <w:pict>
          <v:shape id="_x0000_i1034" type="#_x0000_t75" style="width:18pt;height:20.25pt">
            <v:imagedata r:id="rId13" o:title=""/>
          </v:shape>
        </w:pict>
      </w:r>
      <w:r w:rsidRPr="000D50F3">
        <w:t xml:space="preserve"> - тензор анизотропии, </w:t>
      </w:r>
      <w:r w:rsidR="000278CC">
        <w:pict>
          <v:shape id="_x0000_i1035" type="#_x0000_t75" style="width:24pt;height:20.25pt">
            <v:imagedata r:id="rId14" o:title=""/>
          </v:shape>
        </w:pict>
      </w:r>
      <w:r w:rsidRPr="000D50F3">
        <w:t xml:space="preserve">- тензор неоднородного обменного взаимодействия, </w:t>
      </w:r>
      <w:r w:rsidR="000278CC">
        <w:pict>
          <v:shape id="_x0000_i1036" type="#_x0000_t75" style="width:18.75pt;height:14.25pt">
            <v:imagedata r:id="rId15" o:title=""/>
          </v:shape>
        </w:pict>
      </w:r>
      <w:r w:rsidRPr="000D50F3">
        <w:t xml:space="preserve"> - намагниченности подрешеток, </w:t>
      </w:r>
      <w:r w:rsidR="000278CC">
        <w:pict>
          <v:shape id="_x0000_i1037" type="#_x0000_t75" style="width:53.25pt;height:15pt">
            <v:imagedata r:id="rId16" o:title=""/>
          </v:shape>
        </w:pict>
      </w:r>
      <w:r w:rsidRPr="000D50F3">
        <w:t xml:space="preserve">, </w:t>
      </w:r>
      <w:r w:rsidR="000278CC">
        <w:pict>
          <v:shape id="_x0000_i1038" type="#_x0000_t75" style="width:69pt;height:14.25pt">
            <v:imagedata r:id="rId17" o:title=""/>
          </v:shape>
        </w:pict>
      </w:r>
      <w:r w:rsidRPr="000D50F3">
        <w:t xml:space="preserve">. Тензор </w:t>
      </w:r>
      <w:r w:rsidR="000278CC">
        <w:pict>
          <v:shape id="_x0000_i1039" type="#_x0000_t75" style="width:15.75pt;height:18.75pt">
            <v:imagedata r:id="rId12" o:title=""/>
          </v:shape>
        </w:pict>
      </w:r>
      <w:r w:rsidRPr="000D50F3">
        <w:t xml:space="preserve"> выберем в виде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40" type="#_x0000_t75" style="width:222.75pt;height:54pt">
            <v:imagedata r:id="rId18" o:title=""/>
          </v:shape>
        </w:pict>
      </w:r>
      <w:r w:rsidR="006D3027" w:rsidRPr="000D50F3">
        <w:t>,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где I - постоянная внутриплоскостного взаимодействия (в CuO2 - плоскости), </w:t>
      </w:r>
      <w:r w:rsidR="000278CC">
        <w:pict>
          <v:shape id="_x0000_i1041" type="#_x0000_t75" style="width:12pt;height:15pt">
            <v:imagedata r:id="rId19" o:title=""/>
          </v:shape>
        </w:pict>
      </w:r>
      <w:r w:rsidRPr="000D50F3">
        <w:t xml:space="preserve">, </w:t>
      </w:r>
      <w:r w:rsidR="000278CC">
        <w:pict>
          <v:shape id="_x0000_i1042" type="#_x0000_t75" style="width:14.25pt;height:15pt">
            <v:imagedata r:id="rId20" o:title=""/>
          </v:shape>
        </w:pict>
      </w:r>
      <w:r w:rsidRPr="000D50F3">
        <w:t xml:space="preserve"> - постоянные межплоскостного взаимодействия.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>Далее ввиду эквивалентности подкластеров можно ввести следующую систему обозначений: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43" type="#_x0000_t75" style="width:123.75pt;height:20.25pt">
            <v:imagedata r:id="rId21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44" type="#_x0000_t75" style="width:71.25pt;height:18.75pt">
            <v:imagedata r:id="rId22" o:title=""/>
          </v:shape>
        </w:pict>
      </w:r>
      <w:r w:rsidR="006D3027" w:rsidRPr="000D50F3">
        <w:t xml:space="preserve">, </w:t>
      </w:r>
      <w:r>
        <w:pict>
          <v:shape id="_x0000_i1045" type="#_x0000_t75" style="width:123.75pt;height:18.75pt">
            <v:imagedata r:id="rId23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46" type="#_x0000_t75" style="width:45pt;height:20.25pt">
            <v:imagedata r:id="rId24" o:title=""/>
          </v:shape>
        </w:pict>
      </w:r>
      <w:r w:rsidR="006D3027" w:rsidRPr="000D50F3">
        <w:t>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Аналогичных обозначений будем придерживаться и для компонент тензоров </w:t>
      </w:r>
      <w:r w:rsidR="000278CC">
        <w:pict>
          <v:shape id="_x0000_i1047" type="#_x0000_t75" style="width:24pt;height:20.25pt">
            <v:imagedata r:id="rId25" o:title=""/>
          </v:shape>
        </w:pict>
      </w:r>
      <w:r w:rsidRPr="000D50F3">
        <w:t xml:space="preserve"> c учетом соотношения из орторомбичности кристаллической структуры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48" type="#_x0000_t75" style="width:56.25pt;height:18.75pt">
            <v:imagedata r:id="rId26" o:title=""/>
          </v:shape>
        </w:pict>
      </w:r>
      <w:r w:rsidR="006D3027" w:rsidRPr="000D50F3">
        <w:t xml:space="preserve">, </w:t>
      </w:r>
      <w:r>
        <w:pict>
          <v:shape id="_x0000_i1049" type="#_x0000_t75" style="width:56.25pt;height:18.75pt">
            <v:imagedata r:id="rId27" o:title=""/>
          </v:shape>
        </w:pict>
      </w:r>
      <w:r w:rsidR="006D3027" w:rsidRPr="000D50F3">
        <w:t xml:space="preserve">, </w:t>
      </w:r>
      <w:r>
        <w:pict>
          <v:shape id="_x0000_i1050" type="#_x0000_t75" style="width:56.25pt;height:18.75pt">
            <v:imagedata r:id="rId28" o:title=""/>
          </v:shape>
        </w:pict>
      </w:r>
      <w:r w:rsidR="006D3027" w:rsidRPr="000D50F3">
        <w:t>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Эксперименты по неупругому нейтронному рассеянию дают значение для постоянной внутриплоскостного обменного взаимодействия </w:t>
      </w:r>
      <w:r w:rsidR="000278CC">
        <w:pict>
          <v:shape id="_x0000_i1051" type="#_x0000_t75" style="width:78pt;height:14.25pt">
            <v:imagedata r:id="rId29" o:title=""/>
          </v:shape>
        </w:pict>
      </w:r>
      <w:r w:rsidRPr="000D50F3">
        <w:t xml:space="preserve"> [8] и верхнюю оценку для постоянных межплоскостного обменного взаимодействия </w:t>
      </w:r>
      <w:r w:rsidR="000278CC">
        <w:pict>
          <v:shape id="_x0000_i1052" type="#_x0000_t75" style="width:69pt;height:17.25pt">
            <v:imagedata r:id="rId30" o:title=""/>
          </v:shape>
        </w:pict>
      </w:r>
      <w:r w:rsidRPr="000D50F3">
        <w:t xml:space="preserve">. Приведенные экспериментальные данные позволяют считать в нашем приближении </w:t>
      </w:r>
      <w:r w:rsidR="000278CC">
        <w:pict>
          <v:shape id="_x0000_i1053" type="#_x0000_t75" style="width:48pt;height:15.75pt">
            <v:imagedata r:id="rId31" o:title=""/>
          </v:shape>
        </w:pict>
      </w:r>
      <w:r w:rsidRPr="000D50F3">
        <w:t xml:space="preserve">. 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Запишем гамильтониан (1) в представлении приближенного вторичного квантования. Намагниченности подрешеток </w:t>
      </w:r>
      <w:r w:rsidR="000278CC">
        <w:pict>
          <v:shape id="_x0000_i1054" type="#_x0000_t75" style="width:18.75pt;height:14.25pt">
            <v:imagedata r:id="rId15" o:title=""/>
          </v:shape>
        </w:pict>
      </w:r>
      <w:r w:rsidRPr="000D50F3">
        <w:t xml:space="preserve"> можно выразить через операторы Гольштейна-Примакова: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55" type="#_x0000_t75" style="width:198.75pt;height:21pt">
            <v:imagedata r:id="rId32" o:title=""/>
          </v:shape>
        </w:pict>
      </w:r>
      <w:r w:rsidR="006D3027" w:rsidRPr="000D50F3">
        <w:t>,   (2)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56" type="#_x0000_t75" style="width:135.75pt;height:51pt">
            <v:imagedata r:id="rId33" o:title=""/>
          </v:shape>
        </w:pict>
      </w:r>
      <w:r w:rsidR="006D3027" w:rsidRPr="000D50F3">
        <w:t xml:space="preserve">                     (2.1)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где </w:t>
      </w:r>
      <w:r w:rsidR="000278CC">
        <w:pict>
          <v:shape id="_x0000_i1057" type="#_x0000_t75" style="width:18.75pt;height:17.25pt">
            <v:imagedata r:id="rId34" o:title=""/>
          </v:shape>
        </w:pict>
      </w:r>
      <w:r w:rsidRPr="000D50F3">
        <w:t xml:space="preserve"> - равновесная намагниченность </w:t>
      </w:r>
      <w:r w:rsidR="000278CC">
        <w:pict>
          <v:shape id="_x0000_i1058" type="#_x0000_t75" style="width:9.75pt;height:9.75pt">
            <v:imagedata r:id="rId35" o:title=""/>
          </v:shape>
        </w:pict>
      </w:r>
      <w:r w:rsidRPr="000D50F3">
        <w:t xml:space="preserve"> - той подрешетки, </w:t>
      </w:r>
      <w:r w:rsidR="000278CC">
        <w:pict>
          <v:shape id="_x0000_i1059" type="#_x0000_t75" style="width:36.75pt;height:15pt">
            <v:imagedata r:id="rId36" o:title=""/>
          </v:shape>
        </w:pict>
      </w:r>
      <w:r w:rsidRPr="000D50F3">
        <w:t xml:space="preserve"> , g - фактор Ланде, </w:t>
      </w:r>
      <w:r w:rsidR="000278CC">
        <w:pict>
          <v:shape id="_x0000_i1060" type="#_x0000_t75" style="width:74.25pt;height:15pt">
            <v:imagedata r:id="rId37" o:title=""/>
          </v:shape>
        </w:pict>
      </w:r>
      <w:r w:rsidRPr="000D50F3">
        <w:t xml:space="preserve"> - магнетон Бора.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>Подставляя (2) в (1) и переходя к фурье-представлению операторов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61" type="#_x0000_t75" style="width:96pt;height:30pt">
            <v:imagedata r:id="rId38" o:title=""/>
          </v:shape>
        </w:pict>
      </w:r>
      <w:r w:rsidR="006D3027" w:rsidRPr="000D50F3">
        <w:t>,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>получим: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62" type="#_x0000_t75" style="width:195pt;height:30.75pt">
            <v:imagedata r:id="rId39" o:title=""/>
          </v:shape>
        </w:pict>
      </w:r>
      <w:r w:rsidR="006D3027" w:rsidRPr="000D50F3">
        <w:t>,    (3)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63" type="#_x0000_t75" style="width:183.75pt;height:20.25pt">
            <v:imagedata r:id="rId40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64" type="#_x0000_t75" style="width:90.75pt;height:27.75pt">
            <v:imagedata r:id="rId41" o:title=""/>
          </v:shape>
        </w:pict>
      </w:r>
      <w:r w:rsidR="006D3027" w:rsidRPr="000D50F3">
        <w:t>,                              (3.1)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65" type="#_x0000_t75" style="width:170.25pt;height:20.25pt">
            <v:imagedata r:id="rId42" o:title=""/>
          </v:shape>
        </w:pict>
      </w:r>
      <w:r w:rsidR="006D3027" w:rsidRPr="000D50F3">
        <w:t>.         (3.2)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>Перейдем к исследованию конкретного случая. Введем сферические координаты базисных векторов (2.1). Учитывая малую величину угла откоса, напишем: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66" type="#_x0000_t75" style="width:33pt;height:17.25pt">
            <v:imagedata r:id="rId43" o:title=""/>
          </v:shape>
        </w:pict>
      </w:r>
      <w:r w:rsidR="006D3027" w:rsidRPr="000D50F3">
        <w:t xml:space="preserve">,     </w:t>
      </w:r>
      <w:r>
        <w:pict>
          <v:shape id="_x0000_i1067" type="#_x0000_t75" style="width:57pt;height:18.75pt">
            <v:imagedata r:id="rId44" o:title=""/>
          </v:shape>
        </w:pict>
      </w:r>
      <w:r w:rsidR="006D3027" w:rsidRPr="000D50F3">
        <w:t xml:space="preserve">,    </w:t>
      </w:r>
      <w:r>
        <w:pict>
          <v:shape id="_x0000_i1068" type="#_x0000_t75" style="width:32.25pt;height:17.25pt">
            <v:imagedata r:id="rId45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69" type="#_x0000_t75" style="width:63pt;height:17.25pt">
            <v:imagedata r:id="rId46" o:title=""/>
          </v:shape>
        </w:pict>
      </w:r>
      <w:r w:rsidR="006D3027" w:rsidRPr="000D50F3">
        <w:t xml:space="preserve">,      </w:t>
      </w:r>
      <w:r>
        <w:pict>
          <v:shape id="_x0000_i1070" type="#_x0000_t75" style="width:33.75pt;height:18.75pt">
            <v:imagedata r:id="rId47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71" type="#_x0000_t75" style="width:194.25pt;height:26.25pt">
            <v:imagedata r:id="rId48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72" type="#_x0000_t75" style="width:3in;height:26.25pt">
            <v:imagedata r:id="rId49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73" type="#_x0000_t75" style="width:33pt;height:18.75pt">
            <v:imagedata r:id="rId50" o:title=""/>
          </v:shape>
        </w:pict>
      </w:r>
      <w:r w:rsidR="006D3027" w:rsidRPr="000D50F3">
        <w:t xml:space="preserve">,      </w:t>
      </w:r>
      <w:r>
        <w:pict>
          <v:shape id="_x0000_i1074" type="#_x0000_t75" style="width:57pt;height:17.25pt">
            <v:imagedata r:id="rId51" o:title=""/>
          </v:shape>
        </w:pict>
      </w:r>
      <w:r w:rsidR="006D3027" w:rsidRPr="000D50F3">
        <w:t>.                         (4)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Тогда в соответствии с системой инвариантов группы </w:t>
      </w:r>
      <w:r w:rsidR="000278CC">
        <w:pict>
          <v:shape id="_x0000_i1075" type="#_x0000_t75" style="width:18.75pt;height:17.25pt">
            <v:imagedata r:id="rId52" o:title=""/>
          </v:shape>
        </w:pict>
      </w:r>
      <w:r w:rsidRPr="000D50F3">
        <w:t xml:space="preserve"> коэффициенты </w:t>
      </w:r>
      <w:r w:rsidR="000278CC">
        <w:pict>
          <v:shape id="_x0000_i1076" type="#_x0000_t75" style="width:44.25pt;height:18pt">
            <v:imagedata r:id="rId53" o:title=""/>
          </v:shape>
        </w:pict>
      </w:r>
      <w:r w:rsidRPr="000D50F3">
        <w:t xml:space="preserve"> (3.1-3.2) будут иметь вид: 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77" type="#_x0000_t75" style="width:203.25pt;height:26.25pt">
            <v:imagedata r:id="rId54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78" type="#_x0000_t75" style="width:131.25pt;height:36pt">
            <v:imagedata r:id="rId55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79" type="#_x0000_t75" style="width:138pt;height:35.25pt">
            <v:imagedata r:id="rId56" o:title=""/>
          </v:shape>
        </w:pict>
      </w:r>
      <w:r>
        <w:pict>
          <v:shape id="_x0000_i1080" type="#_x0000_t75" style="width:108.75pt;height:15.75pt">
            <v:imagedata r:id="rId57" o:title=""/>
          </v:shape>
        </w:pict>
      </w:r>
      <w:r w:rsidR="006D3027" w:rsidRPr="000D50F3">
        <w:t>,                          (5.1)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81" type="#_x0000_t75" style="width:186pt;height:26.25pt">
            <v:imagedata r:id="rId58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82" type="#_x0000_t75" style="width:141pt;height:35.25pt">
            <v:imagedata r:id="rId59" o:title=""/>
          </v:shape>
        </w:pict>
      </w:r>
      <w:r w:rsidR="006D3027" w:rsidRPr="000D50F3">
        <w:t xml:space="preserve">                  (5.2)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>Отсюда, используя выбор ортов (4) и учитывая направления равновесных намагниченностей, получим: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83" type="#_x0000_t75" style="width:93pt;height:17.25pt">
            <v:imagedata r:id="rId60" o:title=""/>
          </v:shape>
        </w:pict>
      </w:r>
      <w:r w:rsidR="006D3027" w:rsidRPr="000D50F3">
        <w:t xml:space="preserve">, </w:t>
      </w:r>
      <w:r>
        <w:pict>
          <v:shape id="_x0000_i1084" type="#_x0000_t75" style="width:45pt;height:18pt">
            <v:imagedata r:id="rId61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85" type="#_x0000_t75" style="width:93.75pt;height:17.25pt">
            <v:imagedata r:id="rId62" o:title=""/>
          </v:shape>
        </w:pict>
      </w:r>
      <w:r w:rsidR="006D3027" w:rsidRPr="000D50F3">
        <w:t xml:space="preserve">, </w:t>
      </w:r>
      <w:r>
        <w:pict>
          <v:shape id="_x0000_i1086" type="#_x0000_t75" style="width:45.75pt;height:17.25pt">
            <v:imagedata r:id="rId63" o:title=""/>
          </v:shape>
        </w:pict>
      </w:r>
      <w:r w:rsidR="006D3027" w:rsidRPr="000D50F3">
        <w:t xml:space="preserve">                  (6)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где </w:t>
      </w:r>
      <w:r w:rsidR="000278CC">
        <w:pict>
          <v:shape id="_x0000_i1087" type="#_x0000_t75" style="width:54.75pt;height:15pt">
            <v:imagedata r:id="rId64" o:title=""/>
          </v:shape>
        </w:pict>
      </w:r>
      <w:r w:rsidRPr="000D50F3">
        <w:t>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Выпишем компоненты </w:t>
      </w:r>
      <w:r w:rsidR="000278CC">
        <w:pict>
          <v:shape id="_x0000_i1088" type="#_x0000_t75" style="width:44.25pt;height:18pt">
            <v:imagedata r:id="rId53" o:title=""/>
          </v:shape>
        </w:pict>
      </w:r>
      <w:r w:rsidRPr="000D50F3">
        <w:t xml:space="preserve"> в явном виде ввиду их важности для дальнейшего.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89" type="#_x0000_t75" style="width:140.25pt;height:45.75pt">
            <v:imagedata r:id="rId65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90" type="#_x0000_t75" style="width:118.5pt;height:35.25pt">
            <v:imagedata r:id="rId66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91" type="#_x0000_t75" style="width:108pt;height:36pt">
            <v:imagedata r:id="rId67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92" type="#_x0000_t75" style="width:161.25pt;height:45pt">
            <v:imagedata r:id="rId68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93" type="#_x0000_t75" style="width:153pt;height:17.25pt">
            <v:imagedata r:id="rId69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94" type="#_x0000_t75" style="width:161.25pt;height:45pt">
            <v:imagedata r:id="rId70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95" type="#_x0000_t75" style="width:143.25pt;height:17.25pt">
            <v:imagedata r:id="rId71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96" type="#_x0000_t75" style="width:223.5pt;height:26.25pt">
            <v:imagedata r:id="rId72" o:title=""/>
          </v:shape>
        </w:pict>
      </w:r>
      <w:r>
        <w:pict>
          <v:shape id="_x0000_i1097" type="#_x0000_t75" style="width:156.75pt;height:17.25pt">
            <v:imagedata r:id="rId73" o:title=""/>
          </v:shape>
        </w:pict>
      </w:r>
      <w:r w:rsidR="006D3027" w:rsidRPr="000D50F3">
        <w:t>,               (7)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98" type="#_x0000_t75" style="width:155.25pt;height:44.25pt">
            <v:imagedata r:id="rId74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099" type="#_x0000_t75" style="width:96.75pt;height:17.25pt">
            <v:imagedata r:id="rId75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00" type="#_x0000_t75" style="width:152.25pt;height:44.25pt">
            <v:imagedata r:id="rId76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01" type="#_x0000_t75" style="width:152.25pt;height:17.25pt">
            <v:imagedata r:id="rId77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02" type="#_x0000_t75" style="width:150.75pt;height:44.25pt">
            <v:imagedata r:id="rId78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03" type="#_x0000_t75" style="width:96.75pt;height:17.25pt">
            <v:imagedata r:id="rId79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04" type="#_x0000_t75" style="width:153pt;height:44.25pt">
            <v:imagedata r:id="rId80" o:title=""/>
          </v:shape>
        </w:pic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05" type="#_x0000_t75" style="width:159pt;height:17.25pt">
            <v:imagedata r:id="rId81" o:title=""/>
          </v:shape>
        </w:pict>
      </w:r>
      <w:r w:rsidR="006D3027" w:rsidRPr="000D50F3">
        <w:t>.        (8)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Для упрощения диагонализации гамильтониана (3) введем вместо операторов </w:t>
      </w:r>
      <w:r w:rsidR="000278CC">
        <w:pict>
          <v:shape id="_x0000_i1106" type="#_x0000_t75" style="width:38.25pt;height:18.75pt">
            <v:imagedata r:id="rId82" o:title=""/>
          </v:shape>
        </w:pict>
      </w:r>
      <w:r w:rsidRPr="000D50F3">
        <w:t xml:space="preserve"> операторы </w:t>
      </w:r>
      <w:r w:rsidR="000278CC">
        <w:pict>
          <v:shape id="_x0000_i1107" type="#_x0000_t75" style="width:35.25pt;height:18.75pt">
            <v:imagedata r:id="rId83" o:title=""/>
          </v:shape>
        </w:pict>
      </w:r>
      <w:r w:rsidRPr="000D50F3">
        <w:t xml:space="preserve"> согласно следующим формулам: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08" type="#_x0000_t75" style="width:132pt;height:26.25pt">
            <v:imagedata r:id="rId84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09" type="#_x0000_t75" style="width:132.75pt;height:26.25pt">
            <v:imagedata r:id="rId85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10" type="#_x0000_t75" style="width:132pt;height:26.25pt">
            <v:imagedata r:id="rId86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11" type="#_x0000_t75" style="width:132.75pt;height:26.25pt">
            <v:imagedata r:id="rId87" o:title=""/>
          </v:shape>
        </w:pict>
      </w:r>
      <w:r w:rsidR="006D3027" w:rsidRPr="000D50F3">
        <w:t>.                     (9)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Тогда с учетом (6) гамильтониан (3) в новых операторах </w:t>
      </w:r>
      <w:r w:rsidR="000278CC">
        <w:pict>
          <v:shape id="_x0000_i1112" type="#_x0000_t75" style="width:35.25pt;height:18.75pt">
            <v:imagedata r:id="rId83" o:title=""/>
          </v:shape>
        </w:pict>
      </w:r>
      <w:r w:rsidRPr="000D50F3">
        <w:t xml:space="preserve"> имеет вид: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13" type="#_x0000_t75" style="width:201.75pt;height:30.75pt">
            <v:imagedata r:id="rId88" o:title=""/>
          </v:shape>
        </w:pict>
      </w:r>
      <w:r w:rsidR="006D3027" w:rsidRPr="000D50F3">
        <w:t>, (10)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>где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14" type="#_x0000_t75" style="width:120pt;height:18.75pt">
            <v:imagedata r:id="rId89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15" type="#_x0000_t75" style="width:120.75pt;height:18.75pt">
            <v:imagedata r:id="rId90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16" type="#_x0000_t75" style="width:120.75pt;height:18.75pt">
            <v:imagedata r:id="rId91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17" type="#_x0000_t75" style="width:120.75pt;height:18.75pt">
            <v:imagedata r:id="rId92" o:title=""/>
          </v:shape>
        </w:pict>
      </w:r>
      <w:r w:rsidR="006D3027" w:rsidRPr="000D50F3">
        <w:t xml:space="preserve">           (11)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и </w:t>
      </w:r>
      <w:r w:rsidR="000278CC">
        <w:pict>
          <v:shape id="_x0000_i1118" type="#_x0000_t75" style="width:15.75pt;height:17.25pt">
            <v:imagedata r:id="rId93" o:title=""/>
          </v:shape>
        </w:pict>
      </w:r>
      <w:r w:rsidRPr="000D50F3">
        <w:t xml:space="preserve"> аналогично выражаются через компоненты матрицы В.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Разделим </w:t>
      </w:r>
      <w:r w:rsidR="000278CC">
        <w:pict>
          <v:shape id="_x0000_i1119" type="#_x0000_t75" style="width:15pt;height:17.25pt">
            <v:imagedata r:id="rId94" o:title=""/>
          </v:shape>
        </w:pict>
      </w:r>
      <w:r w:rsidRPr="000D50F3">
        <w:t xml:space="preserve"> и </w:t>
      </w:r>
      <w:r w:rsidR="000278CC">
        <w:pict>
          <v:shape id="_x0000_i1120" type="#_x0000_t75" style="width:15.75pt;height:17.25pt">
            <v:imagedata r:id="rId93" o:title=""/>
          </v:shape>
        </w:pict>
      </w:r>
      <w:r w:rsidRPr="000D50F3">
        <w:t xml:space="preserve"> на слагаемые, не содержащие величину </w:t>
      </w:r>
      <w:r w:rsidR="000278CC">
        <w:pict>
          <v:shape id="_x0000_i1121" type="#_x0000_t75" style="width:14.25pt;height:12.75pt">
            <v:imagedata r:id="rId95" o:title=""/>
          </v:shape>
        </w:pict>
      </w:r>
      <w:r w:rsidRPr="000D50F3">
        <w:t xml:space="preserve">, и слагаемые, содержащие </w:t>
      </w:r>
      <w:r w:rsidR="000278CC">
        <w:pict>
          <v:shape id="_x0000_i1122" type="#_x0000_t75" style="width:14.25pt;height:12.75pt">
            <v:imagedata r:id="rId95" o:title=""/>
          </v:shape>
        </w:pict>
      </w:r>
      <w:r w:rsidRPr="000D50F3">
        <w:t>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23" type="#_x0000_t75" style="width:1in;height:17.25pt">
            <v:imagedata r:id="rId96" o:title=""/>
          </v:shape>
        </w:pict>
      </w:r>
      <w:r w:rsidR="006D3027" w:rsidRPr="000D50F3">
        <w:t xml:space="preserve">, </w:t>
      </w:r>
      <w:r>
        <w:pict>
          <v:shape id="_x0000_i1124" type="#_x0000_t75" style="width:74.25pt;height:17.25pt">
            <v:imagedata r:id="rId97" o:title=""/>
          </v:shape>
        </w:pict>
      </w:r>
      <w:r w:rsidR="006D3027" w:rsidRPr="000D50F3">
        <w:t>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>В гамильтониане (10) с помощью канонического u-v-преобразования Боголюбова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25" type="#_x0000_t75" style="width:96.75pt;height:20.25pt">
            <v:imagedata r:id="rId98" o:title=""/>
          </v:shape>
        </w:pict>
      </w:r>
      <w:r w:rsidR="006D3027" w:rsidRPr="000D50F3">
        <w:t>,                      (12)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26" type="#_x0000_t75" style="width:128.25pt;height:41.25pt">
            <v:imagedata r:id="rId99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27" type="#_x0000_t75" style="width:135.75pt;height:41.25pt">
            <v:imagedata r:id="rId100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28" type="#_x0000_t75" style="width:180.75pt;height:18.75pt">
            <v:imagedata r:id="rId101" o:title=""/>
          </v:shape>
        </w:pic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перейдем к магнонным операторам </w:t>
      </w:r>
      <w:r w:rsidR="000278CC">
        <w:pict>
          <v:shape id="_x0000_i1129" type="#_x0000_t75" style="width:87.75pt;height:18.75pt">
            <v:imagedata r:id="rId102" o:title=""/>
          </v:shape>
        </w:pict>
      </w:r>
      <w:r w:rsidRPr="000D50F3">
        <w:t>. Диагонализованный гамильтониан имеет стандартный вид: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30" type="#_x0000_t75" style="width:128.25pt;height:27.75pt">
            <v:imagedata r:id="rId103" o:title=""/>
          </v:shape>
        </w:pict>
      </w:r>
      <w:r w:rsidR="006D3027" w:rsidRPr="000D50F3">
        <w:t>,                    (13)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где </w:t>
      </w:r>
      <w:r w:rsidR="000278CC">
        <w:pict>
          <v:shape id="_x0000_i1131" type="#_x0000_t75" style="width:21pt;height:18.75pt">
            <v:imagedata r:id="rId104" o:title=""/>
          </v:shape>
        </w:pict>
      </w:r>
      <w:r w:rsidRPr="000D50F3">
        <w:t xml:space="preserve"> - энергия спиновых волн коллинеарного антиферромагнетика, </w:t>
      </w:r>
      <w:r w:rsidR="000278CC">
        <w:pict>
          <v:shape id="_x0000_i1132" type="#_x0000_t75" style="width:20.25pt;height:17.25pt">
            <v:imagedata r:id="rId105" o:title=""/>
          </v:shape>
        </w:pict>
      </w:r>
      <w:r w:rsidRPr="000D50F3">
        <w:t>- поправка к энергии, связанная с неколлинеарностью подрешеток.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33" type="#_x0000_t75" style="width:155.25pt;height:36pt">
            <v:imagedata r:id="rId106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34" type="#_x0000_t75" style="width:159pt;height:36pt">
            <v:imagedata r:id="rId107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35" type="#_x0000_t75" style="width:156.75pt;height:36pt">
            <v:imagedata r:id="rId108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36" type="#_x0000_t75" style="width:159pt;height:36pt">
            <v:imagedata r:id="rId109" o:title=""/>
          </v:shape>
        </w:pict>
      </w:r>
      <w:r w:rsidR="006D3027" w:rsidRPr="000D50F3">
        <w:t>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Если </w:t>
      </w:r>
      <w:r w:rsidR="000278CC">
        <w:pict>
          <v:shape id="_x0000_i1137" type="#_x0000_t75" style="width:78pt;height:14.25pt">
            <v:imagedata r:id="rId29" o:title=""/>
          </v:shape>
        </w:pict>
      </w:r>
      <w:r w:rsidRPr="000D50F3">
        <w:t xml:space="preserve">, </w:t>
      </w:r>
      <w:r w:rsidR="000278CC">
        <w:pict>
          <v:shape id="_x0000_i1138" type="#_x0000_t75" style="width:39.75pt;height:15.75pt">
            <v:imagedata r:id="rId110" o:title=""/>
          </v:shape>
        </w:pict>
      </w:r>
      <w:r w:rsidRPr="000D50F3">
        <w:t>, то поправки к спектрам спиновых волн, определяемые неколлинеарностью магнитных подрешеток, будут иметь порядок: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39" type="#_x0000_t75" style="width:1in;height:17.25pt">
            <v:imagedata r:id="rId111" o:title=""/>
          </v:shape>
        </w:pict>
      </w:r>
      <w:r w:rsidR="006D3027" w:rsidRPr="000D50F3">
        <w:t xml:space="preserve">,     </w:t>
      </w:r>
      <w:r>
        <w:pict>
          <v:shape id="_x0000_i1140" type="#_x0000_t75" style="width:74.25pt;height:17.25pt">
            <v:imagedata r:id="rId112" o:title=""/>
          </v:shape>
        </w:pict>
      </w:r>
      <w:r w:rsidR="006D3027" w:rsidRPr="000D50F3">
        <w:t>,</w:t>
      </w:r>
    </w:p>
    <w:p w:rsidR="006D3027" w:rsidRPr="000D50F3" w:rsidRDefault="000278CC" w:rsidP="006D3027">
      <w:pPr>
        <w:spacing w:before="120"/>
        <w:ind w:firstLine="567"/>
        <w:jc w:val="both"/>
      </w:pPr>
      <w:r>
        <w:pict>
          <v:shape id="_x0000_i1141" type="#_x0000_t75" style="width:74.25pt;height:17.25pt">
            <v:imagedata r:id="rId113" o:title=""/>
          </v:shape>
        </w:pict>
      </w:r>
      <w:r w:rsidR="006D3027" w:rsidRPr="000D50F3">
        <w:t xml:space="preserve">,     </w:t>
      </w:r>
      <w:r>
        <w:pict>
          <v:shape id="_x0000_i1142" type="#_x0000_t75" style="width:74.25pt;height:17.25pt">
            <v:imagedata r:id="rId114" o:title=""/>
          </v:shape>
        </w:pict>
      </w:r>
      <w:r w:rsidR="006D3027" w:rsidRPr="000D50F3">
        <w:t>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 xml:space="preserve">Линейная зависимость поправки </w:t>
      </w:r>
      <w:r w:rsidR="000278CC">
        <w:pict>
          <v:shape id="_x0000_i1143" type="#_x0000_t75" style="width:20.25pt;height:17.25pt">
            <v:imagedata r:id="rId105" o:title=""/>
          </v:shape>
        </w:pict>
      </w:r>
      <w:r w:rsidRPr="000D50F3">
        <w:t xml:space="preserve"> от обменного параметра I и квадратичная зависимость от угла откоса </w:t>
      </w:r>
      <w:r w:rsidR="000278CC">
        <w:pict>
          <v:shape id="_x0000_i1144" type="#_x0000_t75" style="width:14.25pt;height:12.75pt">
            <v:imagedata r:id="rId95" o:title=""/>
          </v:shape>
        </w:pict>
      </w:r>
      <w:r w:rsidRPr="000D50F3">
        <w:t xml:space="preserve"> может привести в некоторых случаях к немалым изменениям спектра спиновой волны.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>Выражаю благодарность научному руководителю М.Х.Харрасову за предоставленную задачу и постоянную помощь.</w:t>
      </w:r>
    </w:p>
    <w:p w:rsidR="006D3027" w:rsidRPr="00597649" w:rsidRDefault="006D3027" w:rsidP="006D3027">
      <w:pPr>
        <w:spacing w:before="120"/>
        <w:jc w:val="center"/>
        <w:rPr>
          <w:b/>
          <w:bCs/>
          <w:sz w:val="28"/>
          <w:szCs w:val="28"/>
        </w:rPr>
      </w:pPr>
      <w:r w:rsidRPr="00597649">
        <w:rPr>
          <w:b/>
          <w:bCs/>
          <w:sz w:val="28"/>
          <w:szCs w:val="28"/>
        </w:rPr>
        <w:t>Список литературы</w:t>
      </w:r>
    </w:p>
    <w:p w:rsidR="006D3027" w:rsidRPr="006D3027" w:rsidRDefault="006D3027" w:rsidP="006D3027">
      <w:pPr>
        <w:spacing w:before="120"/>
        <w:ind w:firstLine="567"/>
        <w:jc w:val="both"/>
        <w:rPr>
          <w:lang w:val="en-US"/>
        </w:rPr>
      </w:pPr>
      <w:r w:rsidRPr="000D50F3">
        <w:t xml:space="preserve">Vaknin D., Sinha S.K., Moncton D.E. et al. // Phys. </w:t>
      </w:r>
      <w:r w:rsidRPr="006D3027">
        <w:rPr>
          <w:lang w:val="en-US"/>
        </w:rPr>
        <w:t>Rev. Lett. 1987. V. 58. P. 2802-2805.</w:t>
      </w:r>
    </w:p>
    <w:p w:rsidR="006D3027" w:rsidRPr="006D3027" w:rsidRDefault="006D3027" w:rsidP="006D3027">
      <w:pPr>
        <w:spacing w:before="120"/>
        <w:ind w:firstLine="567"/>
        <w:jc w:val="both"/>
        <w:rPr>
          <w:lang w:val="en-US"/>
        </w:rPr>
      </w:pPr>
      <w:r w:rsidRPr="006D3027">
        <w:rPr>
          <w:lang w:val="en-US"/>
        </w:rPr>
        <w:t>Shirare C., Endoh Y., Birgineau R.J. et al. // Phys. Rev. Lett. 1987. V. 59. P. 1613-1616.</w:t>
      </w:r>
    </w:p>
    <w:p w:rsidR="006D3027" w:rsidRPr="006D3027" w:rsidRDefault="006D3027" w:rsidP="006D3027">
      <w:pPr>
        <w:spacing w:before="120"/>
        <w:ind w:firstLine="567"/>
        <w:jc w:val="both"/>
        <w:rPr>
          <w:lang w:val="en-US"/>
        </w:rPr>
      </w:pPr>
      <w:r w:rsidRPr="006D3027">
        <w:rPr>
          <w:lang w:val="en-US"/>
        </w:rPr>
        <w:t>Kastner M.A., Birgeneau R.J., Thurston T.R. et al. // Phys. Rev. B. 1988. V. 38. P. 6636-6640.</w:t>
      </w:r>
    </w:p>
    <w:p w:rsidR="006D3027" w:rsidRPr="006D3027" w:rsidRDefault="006D3027" w:rsidP="006D3027">
      <w:pPr>
        <w:spacing w:before="120"/>
        <w:ind w:firstLine="567"/>
        <w:jc w:val="both"/>
        <w:rPr>
          <w:lang w:val="en-US"/>
        </w:rPr>
      </w:pPr>
      <w:r w:rsidRPr="006D3027">
        <w:rPr>
          <w:lang w:val="en-US"/>
        </w:rPr>
        <w:t>Thio T., Thurston T.R., Preyer N.W. et al. // Phys. Rev. B. 1988. V. 38. P. 905-908.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6D3027">
        <w:rPr>
          <w:lang w:val="en-US"/>
        </w:rPr>
        <w:t xml:space="preserve">Endoh Y., Yamada K., Birgeneau R.J. et al. // Phys. </w:t>
      </w:r>
      <w:r w:rsidRPr="000D50F3">
        <w:t>Rev. B. 1983. V. 37. P. 7443-7453.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0D50F3">
        <w:t>Боровик-Романов А.С., Буздин А.И., Крейнес Н.М., Кротов С.С. // Письма в ЖЭТФ. 1988. Т. 47. С. 600-603.</w:t>
      </w:r>
    </w:p>
    <w:p w:rsidR="006D3027" w:rsidRPr="006D3027" w:rsidRDefault="006D3027" w:rsidP="006D3027">
      <w:pPr>
        <w:spacing w:before="120"/>
        <w:ind w:firstLine="567"/>
        <w:jc w:val="both"/>
        <w:rPr>
          <w:lang w:val="en-US"/>
        </w:rPr>
      </w:pPr>
      <w:r w:rsidRPr="000D50F3">
        <w:t>Абдуллин А.У., Савченко М.А., Харрасов М.Х. // ДАН. 1995. Т</w:t>
      </w:r>
      <w:r w:rsidRPr="006D3027">
        <w:rPr>
          <w:lang w:val="en-US"/>
        </w:rPr>
        <w:t xml:space="preserve">. 342. № 6. </w:t>
      </w:r>
      <w:r w:rsidRPr="000D50F3">
        <w:t>С</w:t>
      </w:r>
      <w:r w:rsidRPr="006D3027">
        <w:rPr>
          <w:lang w:val="en-US"/>
        </w:rPr>
        <w:t>. 753-756.</w:t>
      </w:r>
    </w:p>
    <w:p w:rsidR="006D3027" w:rsidRPr="000D50F3" w:rsidRDefault="006D3027" w:rsidP="006D3027">
      <w:pPr>
        <w:spacing w:before="120"/>
        <w:ind w:firstLine="567"/>
        <w:jc w:val="both"/>
      </w:pPr>
      <w:r w:rsidRPr="006D3027">
        <w:rPr>
          <w:lang w:val="en-US"/>
        </w:rPr>
        <w:t xml:space="preserve">Hayden S.M., Aeppli G., Osborn R. et al. // Phys. </w:t>
      </w:r>
      <w:r w:rsidRPr="000D50F3">
        <w:t>Rev. Lett. 1991. V. 67. P. 3622-3625.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027"/>
    <w:rsid w:val="000278CC"/>
    <w:rsid w:val="00095BA6"/>
    <w:rsid w:val="000D50F3"/>
    <w:rsid w:val="0031418A"/>
    <w:rsid w:val="003258B7"/>
    <w:rsid w:val="00406704"/>
    <w:rsid w:val="00597649"/>
    <w:rsid w:val="005A2562"/>
    <w:rsid w:val="006D3027"/>
    <w:rsid w:val="00A44D32"/>
    <w:rsid w:val="00BE2B11"/>
    <w:rsid w:val="00E12572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,"/>
  <w:listSeparator w:val=";"/>
  <w14:defaultImageDpi w14:val="0"/>
  <w15:chartTrackingRefBased/>
  <w15:docId w15:val="{E72F410D-2674-4684-941B-BCCA054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3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14" Type="http://schemas.openxmlformats.org/officeDocument/2006/relationships/image" Target="media/image111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fontTable" Target="fontTable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theme" Target="theme/theme1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Спектр спиновых волн в антиферромагнетиках с неколлинеарными магнитными подрешетками</vt:lpstr>
    </vt:vector>
  </TitlesOfParts>
  <Company>Home</Company>
  <LinksUpToDate>false</LinksUpToDate>
  <CharactersWithSpaces>5160</CharactersWithSpaces>
  <SharedDoc>false</SharedDoc>
  <HLinks>
    <vt:vector size="6" baseType="variant"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http://www.bashedu.ru/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 спиновых волн в антиферромагнетиках с неколлинеарными магнитными подрешетками</dc:title>
  <dc:subject/>
  <dc:creator>Alena</dc:creator>
  <cp:keywords/>
  <dc:description/>
  <cp:lastModifiedBy>Irina</cp:lastModifiedBy>
  <cp:revision>2</cp:revision>
  <dcterms:created xsi:type="dcterms:W3CDTF">2014-09-16T06:55:00Z</dcterms:created>
  <dcterms:modified xsi:type="dcterms:W3CDTF">2014-09-16T06:55:00Z</dcterms:modified>
</cp:coreProperties>
</file>