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75" w:rsidRPr="00633C11" w:rsidRDefault="00DC5C75" w:rsidP="00DC5C75">
      <w:pPr>
        <w:spacing w:before="120"/>
        <w:jc w:val="center"/>
        <w:rPr>
          <w:b/>
          <w:bCs/>
          <w:sz w:val="32"/>
          <w:szCs w:val="32"/>
        </w:rPr>
      </w:pPr>
      <w:r w:rsidRPr="00633C11">
        <w:rPr>
          <w:b/>
          <w:bCs/>
          <w:sz w:val="32"/>
          <w:szCs w:val="32"/>
        </w:rPr>
        <w:t>Становление российской территориальной администрации на Северном Кавказе</w:t>
      </w:r>
    </w:p>
    <w:p w:rsidR="00DC5C75" w:rsidRPr="00633C11" w:rsidRDefault="00DC5C75" w:rsidP="00DC5C75">
      <w:pPr>
        <w:spacing w:before="120"/>
        <w:jc w:val="center"/>
        <w:rPr>
          <w:sz w:val="28"/>
          <w:szCs w:val="28"/>
        </w:rPr>
      </w:pPr>
      <w:r w:rsidRPr="00633C11">
        <w:rPr>
          <w:sz w:val="28"/>
          <w:szCs w:val="28"/>
        </w:rPr>
        <w:t>Е.Е. Некрасов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Статья посвящена проблемам децентрализации государственного управления в Российской империи, в частности рассмотрены особенности этого явления в таком своеобразном регионе как Северный Кавказ, отличающимся полиэтничностью населения и многообразием управленческих форм.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Проблема разделения государственной власти и ответственности за ее осуществление между Центром и составными частями государства по вертикали во все исторические периоды была для России одной из важнейших. Изложенный материал, свидетельствует, что в России не сформировалась центральное административное управление. Образовался специфический тип, сочетающий государственное управление и общественное.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Государственные органы власти осуществляли управление учреждениями, полицией, судами, надзор и контроль. Самоуправляемые коллективы организовывали жизнь, членов своих сообществ, удовлетворяли непосредственные их интересы. Дуалистический характер управления, потребовал создания особой нормативно-правовой базы. Во второй половине XIX века, законодательство о территориальном управлении в России в основном было сформировано.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Определенные изменения произошли во взаимоотношениях между центральной властью и регионами. Министерства имели своих представителей в губерниях и уездах, которые выполняли разнообразные государственные поручения. Их полномочия были достаточно широкими. Развитие структуры государственного управления несколько принизило значение и роль губернаторов, в которых царизм видел больше уже представителей местных субъектов власти. Агентами правительства, на которых оно опиралась, стали, отчасти, генерал-губернаторы, институт которых еще существовал, особенно на окраинах. Их услугами широко пользовались министерства и ведомства, возлагая на них часть своих функций и полномочий. Это нельзя рассматривать как процесс децентрализации, а больше как деконцентрацию власти, когда власть как бы приближалась территориально к проблемам местного населения.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Можно выделить несколько направлений формирования установлений: законодательство, регулирующее деятельность представителей центральной государственной власти на всей территории России.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1.</w:t>
      </w:r>
      <w:r>
        <w:t xml:space="preserve"> </w:t>
      </w:r>
      <w:r w:rsidRPr="00633C11">
        <w:t>Законодательные акты, регламентирующие функционирование крупных регионов России, таких как Сибирь, Кавказ, Польское царство, Туркестан. Прибалтийский край (например, специальными законами дважды, начиная с 1821 года, учреждался Сибирский комитет [1], в Прибалтийском крае Остзейский [2], существовал Кавказский с 1842 года и др.).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2.</w:t>
      </w:r>
      <w:r>
        <w:t xml:space="preserve"> </w:t>
      </w:r>
      <w:r w:rsidRPr="00633C11">
        <w:t>Отдельными документами регулировались гражданское управление казаками в областях Войска Донского, Кубанской и Терской области, Войска Астраханского, Оренбургского, Уральского Сибирского, Семире-ченского, Забайкальского Амурского и Уссурийского и гражданское управление области Войска Донского, Кубанского и Терского было подчинено Военному министерству, соответственно через главное управление казачьих войск. Начиная с 1910 года Казачьему отделу генерального штаба [3]. Возглавляли войско наказной атаман, обладающий двойными функциями гражданскими в должности генерал-губернатора и военными в ранге командующего округа [4].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Он же являлся главой областного правления, которое составляло из общего присутствия и канцелярии. Присутствие включало разнообразных должностных лиц старшего и младшего помощников атамана, советников, лесничих, техников, ветеринарных инспекторов, гидротехника и агронома. Некоторые должностные лица назначались, некоторые выбирались казачьим кругом.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Присутствие действовало на основании закона «Об общих губернских учреждениях». На него также возлагалось и ряд поручений, выходящих за рамки данного закона. Среди них взимание пошлин в пользу войска с добычи полезных ископаемых, некоторые судебные функции [5].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3. Специальным Положением регулировалось Управление инородцами [6]. В Ставропольском крае проживали калмыки и ногайцы. Они выбирали голову, старшину и казначея. В аулах руководили старшины, старосты и десятские. Все должности замещались на три года. Список должностных лиц обязательно утверждался главным приставом инородцев Ставропольского края.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По Положению инородцы делились на оседлых, кочевых и бродячих. К первой категории относились те, которые жили оседло, в деревнях или городах, занимались хлебопашеством или торговлей. Ко второй причислялись оседлые народы, жившие деревнями, менявшие место жительства по временам года. К третьей категории относились те, «которые не имели никакой оседлости, переходили с одного места по лесам и рекам или урочищам для звероловного и рыболовного промысла отдельными родами или семействами». Была составлена особая перепись, которая и определяла статус народов. Управление ими осуществлялось по-разному. Одни находились в ведении Министерства государственных имуществ (например, самоеды). Архангельской губернии. Другие находились в совместном управлении Министерства государственных имуществ и внутренних дел (калмыки, ногайцы и др., проживавшие в Ставропольской и Астраханской губерниях), некоторые — только Министерством внутренних дел. Его поручения выполнял губернатор, в чьей губернии проживал данный народ. Некоторые народы были подведомственны Министерству внутренних дел и специальному Временному Совету, состоявшему из государственных чиновников России и местных народов. Полномочия Советов были очень широкими и выполняли даже часть функций, присущих самоуправлению, на основе обычного права [7].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Примером законодательного регулирования может служить раздел Положения, где были изложены права инородцев. Здесь также очевидна гибкость и продуманность региональной политики правительства. Особенно защищалась собственность инородцев. К их правам относились: личные наследственные, избирательные, имущественные (владение землей, свобода выбора занятий, свобода вероисповедания и богослужения, право обучения детей в государственных учебных заведениях и собственных школах). Некоторые инородцы освобождались от целого перечня повинностей и сборов. Для них был определен особый порядок наделения земельного владения, с учетом их образа жизни. Земля не закреплялась конкретно за племенем, и они могли беспрепятственно передвигаться из одной области в другую. Органы государственной власти строго следили за выполнением принятых законов [8]. Имеются примеры, когда население, независимо от национальности, посягнувшее на земельные владения этих народов строго наказывалось.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Характерной чертой сложившихся законов являлось устойчивая тенденция сохранения местных правовых систем на основе поддержки самоуправления. Уже названные законодательные акты предусматривали признание местного законодательства. Особенно явно эта тенденция просматривается на Кавказе.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Таким образом, Законодательство России, регулирующее региональное управление строилось на принципах централизации и децентрализации с широким привлечением самоуправленческих сообществ. Опыт территориального управления сложившийся на Кавказе имеет особую ценность и сегодня.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Кавказ в целом и Степное Предкавказье в частности — одни из самых важных геополитических регионов России. Вхождение территорий Кавказа и Северного Кавказа в состав российских земель — длительный исторический процесс. В этом регионе, в полной мере, проявились тенденции и закономерности децентрализации, характерные для крупного государства. С древнейших времен Кавказ и Предкавказье были заселены народами различных этнических групп, здесь были распространены, практически, все религиозные конфессии. Узлом столкновения для международных интересов крупных держав Северный Кавказ стал в XV веке, когда турецкие султаны и крымские ханы начали усиленную экспансию на земли северокавказских народов, чтобы создать плацдарм для дальнейших завоеваний. Именно к этому времени относится установление союзно-вассальных отношений между горскими народами и Московским царством. Союз строится на основе организации взаимной борьбы против Ирана, Османской империи и Крымского ханства. С этого периода начинается сложный и драматичный путь вхождения народов Северного Кавказа в Россию, а также заселение Предкавказья и Северного Причерноморья казачеством и крестьянскими колонистами из центральных губерний России.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В начале XVIII века обостряется борьба России за влияние на Ближнем Востоке и Кавказе, в связи с чем активизируется процесс включения народов Кавказа в состав России. Эта тенденция просматривается во второй половине XVIII века, когда разворачивается война с Турцией, имеющей сильные позиции в Черноморском бассейне. Победа в русско-турецкой войне 1768—1774 гг. дала возможность России получить Азов, Керчь, Еникале и Кинбурн.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Для закрепления успехов началось строительство военных укреплений, известных как кавказские оборонительные линии, одной из которых была Азово-Моздокская линия. В рамках этой линии сооружались крепости, селения, города. Все это потребовало создания на этой территории специального управленческого института. В 1783 г. под протекторат России была принята Грузия [9]. 5 мая 1788 года был подписан Высочайший именной указ Екатерины II об образовании Кавказского наместничества из областей Кавказской и Астраханской, с центром в городе Екатеринограде [10]. 9 мая 1788 года последовал именной Указ правящему должность Саратовского и Кавказского генерал-губернатора, генерал-поручику Павлу Сергеевичу Потемкину об устройстве Кавказской губернии. Этим указом было признано целесообразным устраивать города в близости от горских народов, и повелено ввести городовое положение в городах, где городское управление прежде единственно относилось к военному начальству: в Кизляре, Моздоке, крепостях Георгиевской, Александровской, Ставропольской. По этому поводу Екатерина II в личном письме генерал-поручику П. Потемкину поручила «... объявить свое Высочайшее удовольствие по случаю открытия Кавказского наместничества всем, в том числе участвующим всей губернии дворянам и горским князьям, и удовлетворить каждого в искреннем Ее Императорского Величества желании, чтобы новый образ управления, приносящим новые выгоды, послужил к утверждению их спокойствия и благоденствия» [11].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Крупным шагом Екатерины II было учреждение Черноморского казачьего войска, которому в 1792 году были пожалованы кубанские земли — от Азовского моря до Усть-Лабинской крепости вверх по течению Кубани.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Огромное пространство — от устья р. Лабы до Каспийского моря к северу до Маныча — по указу от 15 ноября 1802 г. составило Кавказскую губернию, с губернским городом Георгиевском, все это существенно изменило административное устройство региона, что подкреплялось переселенческой политикой со стороны государства в отношении государственных крестьян. Переселенцы занимали Ставропольскую возвышенность, долины рек Егорлыка, Калауса, то есть территории в тылу Кавказской укрепленной линии. За три года в Кавказскую губернию переселилось около 1600 крестьянских семейств, из которых почти 600 разместилось по Черкасскому тракту, образуя селения Безопасное, Преградное, Медвежье, Летницкое и др. Через них и Ставрополь пролегала Большая почтовая дорога (Черкасская), которая соединяла Российские столицы с Кавказом [12].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Конец XVIII века был ознаменован внешнеполитическими трудностями для России, ее влияние на Кавказе ослабевает. Павел I, стоявший у трона, явно недооценивал значение Кавказа во внешней политике России и увлекся западноевропейскими проблемами. Данное положение не отражало социально-экономических интересов определенной части российского общества. Положение начало в какой-то степени поправляться в начале XIX века, с приходом к власти Александра I, но деятельность этого, в основном, европейскими событиями и войной с Францией. Положение изменилось в 1813 году. Центр международных противоречий, после разгрома наполеоновской Франции, переместился на Кавказ. Иран и Османская империя не оставляли надежд на реванш и пересмотр Гюлистанского и Бухарестского мира, закрепивших их поражение в предыдущих войнах. Ведущие европейские державы оказывали им в этом поддержку.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С этого периода Российское государство постепенно переходит от политики сотрудничества с местными сообществами к политике местного администрирования. Суть ее заключалась в укреплении Кавказской военной линии путем переноса ее к подножию Кавказского хребта и включении горских обществ в общую систему публичной власти. Важной составной частью плана царской администрации являлось переселение казачества и крестьян в Причерноморье и на Северный Кавказ. В 1821 г. на земли Черноморского войска было начато переселение более 16500 душ из Черниговской и Полтавской губерний [13]. Возглавил эту политическую линию Н.П. Ермолов. Насильственные меры государственных чиновников вызвали ожесточенное сопротивление местного населения, и уже с 1818 года начинается насильственная колонизация ряда кавказских территорий и Кавказская война. Одной из причин войны стала недооценка со стороны государственной царской власти особенностей этнического и исторического развития народов Северного Кавказа [14].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В этот период народы Северного Кавказа представляли собой широкий этнический спектр, состоявший на разных уровнях общественного развития. В новой и новейшей литературе, при изучении этнополитических</w:t>
      </w:r>
      <w:r>
        <w:t xml:space="preserve"> </w:t>
      </w:r>
      <w:r w:rsidRPr="00633C11">
        <w:t>особенностей народов, населяющих данную территорию, существовали определенные стереотипы. В дореволюционной историографии бытовали дискрибтивный метод и безусловное осуждение горцев. В марксистской литературе — осуждение экспансионистской политики России и оценка событий с помощью формационного метода. Конечно, в рамках этих исследований написано множество блестящих работ. Оба эти подхода имеют существенные недостатки, так как совершенно не учитывали своеобразие горской цивилизации, отличной от других — азиатских и западноевропейских. К особенностям, определившим историческое развитие кавказских народов, относятся природные условия и относительная замкнутость ряда территорий. В то же время, следует учитывать, что Северный Кавказ стал пристанищем для десятков этносов, родиной целого ряда древних цивилизаций и государств. Здесь раньше других российских территорий распространились исламская и христианская религии.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В силу этого, здесь сложился специфический хозяйственный уклад, в свою очередь, повлиявший на быт, духовность и идеологию горцев, их политическую культуру. Существенную роль в складывании протогосудар-ственых и государственных образований играло обычное право.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Рассмотренные специфические условия предопределили важнейшие общественные институты, развитые у горских народов. Учитывая, что только в Дагестане располагалось 10 феодальных владений и несколько десятков союзов сельских общин, а всего этносов, имеющих свои индивидуальные общественные формы, на Кавказе насчитывается несколько десятков, нет возможности изучать их подробно, каждый в отдельности, так как это не является целью исследования (это можно и необходимо сделать в отдельной работе) [7]. Однако возможно и необходимо сделать и некоторые обобщения: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У большинства народов Северного Кавказа низовым сообществом являлась община, называемая исследователями «джамаат». Община сохраняла структуру родственных коллективов. Ниже общины, ее частью, был тукум. Джамаат являлся низшей административно-политической единицей, органом власти которой являлся сход, а в промежутке между сходами — старшина. Старшинам, практически, принадлежала публичная власть [15]. В основе аграрных отношений народов Кавказа лежала феодальная зависимость. Власть феодала была наследственной и передавалась старшему в роде. Зависимость общины от феодала не меняла внутренней структуры общины. Должностные лица общины, порой, превращались в низших представителей феодальной администрации, а сама община была звеном в системе феодального управления. Особенностью общинного строя у народов Северного Кавказа было то, что феодал являлся членом сельской общины [16].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Ученые-кавказоведы отмечают, что одной из характерных черт горских обществ были союзы сельских общин. У разных народов они имели разное название, но это был следующий уровень управления, более сложный, в основе которого лежал своеобразный общественный договор, устанавливавший единые для данного союза правила хозяйственной деятельности, взаимоотношений, действий. С помощью этих договоров, имеющих силу обычного права (адата), разрешались хозяйственные конфликты, возникшие между общинами и отдельными людьми, и даже военные конфликты.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Высшим органом союза сельских общин являлось собрание всего взрослого мужского населения союза (мекхе, кхел). Позже, с развитием и усложнением общественной структуры, собрание составляли представители джамаатов. С приходом на Кавказ ислама большую роль стали играть главы мусульманского духовенства — кадии [17]. Они, наряду со старшинами, становятся главными административным лицами, судьями. Сельские кадии, подобно старшинам, выбирались на парадном сходе, на срок от 1 года до 3 лет. Однако деятельность кадия была ограничена адатами, и они не могли распоряжаться землями джамаатов, осуществлять правосудие внутри общины, объявлять войну или мир, без согласия джамаатов. Следующей формой административной организации являлись объединения (федерации) союзов сельских общин, которые имели сходную с союзами организацию и представляли, фактически, предгосударственные формы сельских обществ. В этот же период, в Дагестане, в ряде регионе государственные начала стали развиваться и образуются государства, которые имеют многие специфические черты, характерные только для горских обществ, но и типичные формы и признаки, характеризующие данные образования, федерации, как государства [18]. (Их аппарат состоял из союза визирей (исполняющих обязанности советников и министров), назира (казначея), кадия, секретаря, военначальника, дворецкого. При князе и беке состояла дружина профессиональных воинов-нукеров. В разных горных районах, по мнению ученых, роль различных уровней управления общин, союзов и федераций была разной, что зависело от уровня социально-экономических условий и других обстоятельств [19].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В российской и зарубежной историографии, при рассмотрении общественных отношений, одним из центральных вопросов остается обсуждение государственности. Традиционно отмечается, что государственность существовала только у ряда княжеств, располагающихся на территории современного Дагестана. На наш взгляд, историки и юристы недостаточно внимательно исследовали данную проблему, так как существующие модели государственности не могут служить аналогом для рассмотрения признаков государственности у народов Кавказа, важнейшей особенностью которых являлось своеобразие форм государственности, а после включения Кавказа в состав России — своеобразной формой местной власти [20]. Например, если за основу возьмем одну из распространенных формулировок: «Государство — это особая организация политической (публичной) власти», то мы можем достаточно ярко увидеть эту особую организацию у горских народов. Среди целей нашего исследования нет теоретического рассмотрения проблем и признаков государства. Поэтому обратим внимание на процесс преобразования этой государственной власти в региональную, т.е. фактически, в местную. По мере утверждения царской администрации на Северном Кавказе, самоуправление у горцев заменяется государственно-административным управлением. Стали назначаться некоторые должностные лица, была сделана попытка распространения российских норм права на кавказские территории. Несколько позже, в середине XIX в., были проведены административные реформы, целью которых было усиление влияния России в регионе. Территории разделялись на округа и приставства. Во главу данных образований назначались офицеры Кавказской армии или лояльные России горцы. Все это происходило в условиях уже полыхающей Кавказской войны.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Война потребовала от России выполнения сложных военных, экономических и административных задач. Это стало возможным лишь при организации более действенного управления территорией Кавказа. Николай I, указом от 30 августа 1842 г. учреждает очередной особый Комитет по делам Закавказского края, а для обработки всех предположений по устройству края — VI отделение его императорского величества канцелярии, штат которого состоял из управляющего (статс-секретаря М.П. Позена) и 23 других лиц [21]. После тщательной подготовки новой формы правления 19 февраля 1844 года Наместничество было создано. Ему предоставлялись большие права и широкая компетенция. Оно стало высшим государственным органом власти на Кавказе, совместив административные, военные и гражданские функции. Основной его задачей стала, первоначально, организация военных действий и управление горскими обществами при неповиновении, подавление их выступлений [22].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Управление Кавказом строилось по военному принципу. Вся территория была разделена на военные округа, куда входили Дагестанская область, Сухумский край и Терская область. Области были разделены на отделы, которые подчинялись военному министерству. Все начальники областей, отделов и округов имели военные чины и совмещали военные и гражданские функции. В систему военно-административного управления вовлекались представители коренных народов, которые занимали должности в административном аппарате и могли быть старшинами в своих общинах. Постепенно, наместничество стало полномочным и независимым органом царской администрации, в дела которого не могли вмешиваться чиновники более низкого ранга. Основной чиновничий аппарат наместничества и суда, а также губернатора назначался лично царем. Наместничество подчинялось только Кавказскому комитету, который входил в состав Государственного совета. Им же решались и особо важные вопросы по административно-территориальному делению и управлению местных сообществ на Кавказе.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Наместник и его администрация в полной мере держали в своих руках все нити управления краем, определяя, фактически, политику России в этом регионе [23]. Здесь работали люди квалифицированные, знающие конкретную обстановку и вынужденные пользоваться опорой среди местного населения. Часто они адаптировали указы и циркуляры правительства применительно к населению, проживающему здесь. Особенно успешно работало наместничество под руководством М.С. Воронцова, который строил свою работу на учреждении связей с местными феодальными сословиями. Он считал, что интеграция ханско-бекской местной администрации в общественную жизнь России станет наилучшей гарантией стабильности на Кавказе. С этой целью часть военной</w:t>
      </w:r>
      <w:r>
        <w:t xml:space="preserve"> </w:t>
      </w:r>
      <w:r w:rsidRPr="00633C11">
        <w:t>администрации губерний и округов была заменена на местных представителей. В учебных заведениях и школах увеличилось число местных народов.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Политику военно-административного управления продолжил А.И. Барятинский, который реорганизовал аппарат Наместничества, создав пять департаментов-министерств. С 19 июня 1860 года была учреждена специальная Канцелярия по управлению «кавказскими горцами», которая в 1865 г. была преобразована в Кавказское горное управление, а затем — в Кавказское военно-народное управление. Горское управление было самым важным звеном администрации, которое непосредственно влияло на организацию жизни всех народов, населяющих Кавказ. В этот период администрация А.И.Барятинского поддерживает традиционное самоуправление горских сообществ и, практически, не вмешивается в их внутреннюю жизнь, предоставляя им решать внутренние хозяйственные вопросы, с помощью адата и шариата [24].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Однако с окончанием войны в 60-х годах, положение начинает меняться в сторону более активного вмешательства российских чиновников в дела Наместничества и в жизнь горцев.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Автономия наместничества становится помехой на пути проникновения центральной российской бюрократии. Права наместника в этот период подвергаются корректировки в сторону уменьшения его полномочий. Это было закреплено новым «Положением об управлении кавказским наместничеством» в декабре 1867 года, которое сокращало права Наместничества за счет расширения прав Главного управления. Некоторые департаменты, играющие ключевую роль в сотрудничестве с местным населением, например, Дипломатическая канцелярия, были упразднены, другие включены в общегосударственную систему. Значительно возросла роль Главного управления, при котором была учреждена канцелярия. В ведение Главного управления перешли администрация, суд и финансовое управление Наместничества, ему подчинялись учебная и медицинская части, строительно-дорожный комитет, особое о земских повинностях присутствие, статистический комитет, комитет по устройству крестьян, военно-народное управление.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Произошли изменения и в административно-территориальном делении Наместничества. Возросло число губерний, военные округа были преобразованы в уезды. На Кавказ проникали и другие политические и государственные реформы. Так, на территории Наместничества была распространена судебная реформа 1870 года, а также все реформы 60-70-х гг.: земельная, административно-военная. Преобразования на Кавказе завершились упразднением Наместничества в 1883 году. Главою Кавказской администрации стал Главнокомандующий гражданской частью на Кавказе. Он был, одновременно командующим войсками округа и Наказным атаманом казачьего войска. При нем состоял Совет, состоявший из помощника, главноначальствующего, членов министерств (внутренних дел, финансов и государственных имуществ), а также председателя Судебной палаты, директора канцелярии, главнокомандующего и др. Совет имел совещательные, административные и инспекторские функции [25].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Теперь территория Кавказа подразделялась на 6 губерний (Тифлисскую, Кутаисскую, Елизаветпольскую, Эриванскую, Бакинскую и Черноморскую). Необходимо отметить, что реформы, проводившиеся сверху царской администрацией, в какой-то степени были обусловлены изменениями, происходящими внутри горских сообществ. Прежде всего, это широкомасштабное проникновение элементов индустриализации, разрушающей хозяйственный уклад горцев и социально-политическую структуру и связи [26]. Влияла и объективная необходимость сокращения милитаристских тенденций и перевод всех сфер жизни — в гражданское русло.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Военная власть уступала место гражданской. До 60-х годов ХГХв. горское население Северного Кавказа находилось в подчинении военных властей левого и правового флангов Кавказской линии. Гражданское управление существовало только в Ставропольской губернии. С 1860 года все пространство Северного Кавказа было поделено на Ставропольскую губернию, Кубанскую область и Терскую область. Области, в свою очередь, были разделены на округа. Терская область объединяла 8 округов: Осетинский, Кабардинский, Ингушский, Аргунский, Ичкерский. Нагорный Дагестан, за исключением части кумыкского населения, был приписан к Закавказью. Устанавливалось раздельное управление для гражданского, казачьего и горского населения. Это было началом практического осуществления перестройки общественного и политического строя населения Северного Кавказа на гражданский лад. Начало новому административному делению Дагестана установило «Положение об управлении Дагестанской областью» от 5 апреля 1860 года, утвержденное А.И. Барятинским.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Большое значение в этом отношении сыграло введение «Положения об аульных обществах в горском населении Кубанской и Терской областей и их общественном управлении». Положение определяло порядок образования аульных обществ: состав, круг деятельности, права, обязанности и ответственность должностных лиц аульных управлений и аульных судов; порядок избрания, утверждения в должности и освобождения должностных лиц, входящих в состав аульных управлений и судов, а также положение об их правах и ответственности. Аульные общества составлялись из всех лиц свободного состояния, какого бы звания они не были, проживающих в одном большом ауле и нескольких малых поселках, соединенных для удобства управления в одно общество.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Основные хозяйственные и политические вопросы решались на сельских сходах, обладавших широким кругом полномочий — от решения земельных споров до семейных разделов [27]. Первое место на аульных сходах принадлежало аульному старшине, избираемому на сходе или его помощнику. Это было определено закономерно, так как опорой центральной администрации являлись должностные лица, остававшиеся в зависимости от царской администрации, и которые могли быть сменены за неповиновение [28]. Это говорило о зависимости сельского общественного управления, его встроенности в государственную систему управления. В этом смысле сохранялась традиция, которая нами уже отмечалась, об использовании, подчинении государствому естественных форм самоуправления. Это была характерная для России тенденция.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В целом же, на примере управления Кавказом можно увидеть существовавшую там проблему децентрализации, создания эффективных органов власти на местах, которые совмещали разные формы государственного управления и самоуправленческие. Здесь наблюдается попытка определения оптимального соотношения разных линий власти. Главным выводом в результате изучения этой проблемы является то, что наиболее эффективно оно было в то время, когда уважались и наиболее полно использовались самобытные формы самоуправления, подчиненные интересам всего государства.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На фоне XIX века, на фоне общего кризиса политической системы Российского общества начался и кризис государственного управления и самоуправления всех типов. Большинство ученых видит причину этого явления в политике самодержавия, направленной на ограничение компетенции местных органов, стремлении государства поднять самоуправляющиеся системы, превратить их в надстройку. При несомненной правильности этих выводов необходимо сделать некоторые дополнения и обратить внимание на объективно-происходящие процессы. Их сущность в двух тенденциях - эволюции самой государственной системы послереформенного периода в сторону отказа от преобразований и переходу на старые основы бюрократического управления. Вторая тенденция заключается в исчерпывании внутренних потенций самоорганизации, когда самоуправление уже не может обеспечивать насущные потребности общества. Этот процесс был взаимозависим и именно земская городская реформа эволюционировала в сторону государственной теории самоуправления, нами отмечалось и то, что казачье самоуправление также ограничивалось.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Преобразование всего государственного строя на конституционных началах инициировало принятие известных законов 1905—1906 годов, установивших в России, по сути, конституционную монархию. Начался настоящий бум в области подготовки проектов реформы местного управления со стороны различных политических движений и партий. Если в конце XIX века в основе дискуссии лежало соотношение государственной центральной и местной власти, то в начале XX века дискуссии развернулись вокруг учреждения первичной земской единицы. Были подготовлены проекты о поселковом и волостном управлении.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Февральская революция и переход власти к Временному правительству вдохнули жизнь в реформу местного самоуправления совершенно на новых принципах всеобщего избирательного права. 3 марта 1917 г. Временное правительство приняло специальную Декларацию по реформе местного самоуправления. Затем при Министерстве Внутренних Дел было созвано Особое совещание. С 26 марта по 26 октября 1917 г. был выработан большой пакет документов, который, практически, приняло Временное правительство.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Однако завершить преобразование общества на демократических, цивилизационных началах ему, как известно, не удалось.</w:t>
      </w:r>
    </w:p>
    <w:p w:rsidR="00DC5C75" w:rsidRPr="00633C11" w:rsidRDefault="00DC5C75" w:rsidP="00DC5C75">
      <w:pPr>
        <w:spacing w:before="120"/>
        <w:jc w:val="center"/>
        <w:rPr>
          <w:b/>
          <w:bCs/>
          <w:sz w:val="28"/>
          <w:szCs w:val="28"/>
        </w:rPr>
      </w:pPr>
      <w:r w:rsidRPr="00633C11">
        <w:rPr>
          <w:b/>
          <w:bCs/>
          <w:sz w:val="28"/>
          <w:szCs w:val="28"/>
        </w:rPr>
        <w:t>Список литературы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1. Полное Собрание Законов Российской империи. Собрание 1,1821, № 28706. Собрание П, 1852, № 26178.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2. Полное Собрание Законов Российской империи. Собрание 1,1821, № 28706. Собрание П, 1863, № 40034 а.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3. Полное Собрание Законов Российской империи. Собрание П, 1869, №46611. Собрание узаконений, 1910, №2018.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4. Полное Собрание Законов Российской империи. Собрание П, 1868, № 48276.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5. Полное Собрание Законов Российской империи. Собрание П, 1870, № 48276.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6. Полное Собрание Законов Российской империи. Собрание 1,1822, № 29125,29126.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7. Полное Собрание Законов Российской империи. Собрание П, 1867, № 44845.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8. Полное Собрание Законов Российской империи. Собрание П, 1856, № 31080,1844, № 18290.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9. История народов Северного Кавказа (конец ХУШ в. -1917 г.). М., 1988. С. 12.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10. ГАСК ф. 95 оп 1, д. 8701 Л137. Наш край (Документы, материалы 1777-1917гг.). Ставрополь, 1977. С. 12,38. И. ГАСК ф. 95 о 1, д. 8701 Л. 138 (б).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12. Наш край (документы, материалы 1777-1917 гг.). Ставрополь, 1977. С. 13.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13. Наш край (документы, материалы 1777-1917 гг.). Ставрополь, 1977. С. 13.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14. История народов Северного Кавказа (конец ХУШ-1917г.). М., 1988. С. 33.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15. История народов Северного Кавказа (конец ХУШ-1917г.). М., 1988. С. ИЗ.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16. Феодальные отношения в Дагестане. Махачкала, 1980. С. 182-185.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17. История народов Северного Кавказа (конец ХУШ-1917г.). М., 1988. С. 113.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18. Леонтович Ф.И. Адаты кавказских горцев. Одесса, 1882. Вып. 2.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19. История народов Северного Кавказа (конец ХУШ-1917г.). М., 1988. С.113.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20. Материалы по истории Дагестана и Чечни (2-я половина XIX в.). Махачкала, 1947. С. 180-187.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21. Полное Собрание Законов Российской империи. Собрание П, 1842, № 16008. Собрание Ш, 1881, № 485.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22. Полное Собрание Законов Российской империи. Собрание Ш, 1883, № 1522,1888, № 5077.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23. Полное Собрание Законов Российской империи. Собрание 1,1827, № 878. Собрание Ш, 1883, № 1522. Собрание П, 1842, № 16205.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24. Полное Собрание Законов Российской империи. Собрание 1,1827, № 878.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25. Полное Собрание Законов Российской империи. Собрание Ш, 1883, № 1522.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26. История государственных учреждений России до Великой Октябрьской социалистической революции (1861-1917). М., 1958. С. 55-56.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27.</w:t>
      </w:r>
      <w:r>
        <w:t xml:space="preserve"> </w:t>
      </w:r>
      <w:r w:rsidRPr="00633C11">
        <w:t>Памятная книжка Кубанской области на 1880 год. Издание Кубанского областного статистического Комитета. Екатеринодар, 1880. С. 66-67.</w:t>
      </w:r>
    </w:p>
    <w:p w:rsidR="00DC5C75" w:rsidRPr="00633C11" w:rsidRDefault="00DC5C75" w:rsidP="00DC5C75">
      <w:pPr>
        <w:spacing w:before="120"/>
        <w:ind w:firstLine="567"/>
        <w:jc w:val="both"/>
      </w:pPr>
      <w:r w:rsidRPr="00633C11">
        <w:t>28.</w:t>
      </w:r>
      <w:r>
        <w:t xml:space="preserve"> </w:t>
      </w:r>
      <w:r w:rsidRPr="00633C11">
        <w:t>Памятная книжка Кубанской области на 1880 год. Издание Кубанского областного статистического Комитета. Екатеринодар, 1880. С. 66-67.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C75"/>
    <w:rsid w:val="00095BA6"/>
    <w:rsid w:val="0031418A"/>
    <w:rsid w:val="003A7234"/>
    <w:rsid w:val="005A2562"/>
    <w:rsid w:val="00633C11"/>
    <w:rsid w:val="00644F32"/>
    <w:rsid w:val="006E3870"/>
    <w:rsid w:val="00A44D32"/>
    <w:rsid w:val="00B965F9"/>
    <w:rsid w:val="00DC5C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6CC8D2-83BA-4D86-9FA2-2F4CAC3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5013</Words>
  <Characters>28577</Characters>
  <Application>Microsoft Office Word</Application>
  <DocSecurity>0</DocSecurity>
  <Lines>238</Lines>
  <Paragraphs>67</Paragraphs>
  <ScaleCrop>false</ScaleCrop>
  <Company>Home</Company>
  <LinksUpToDate>false</LinksUpToDate>
  <CharactersWithSpaces>33523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российской территориальной администрации на Северном Кавказе</dc:title>
  <dc:subject/>
  <dc:creator>Alena</dc:creator>
  <cp:keywords/>
  <dc:description/>
  <cp:lastModifiedBy>admin</cp:lastModifiedBy>
  <cp:revision>2</cp:revision>
  <dcterms:created xsi:type="dcterms:W3CDTF">2014-02-16T17:12:00Z</dcterms:created>
  <dcterms:modified xsi:type="dcterms:W3CDTF">2014-02-16T17:12:00Z</dcterms:modified>
</cp:coreProperties>
</file>