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38" w:rsidRPr="002A7979" w:rsidRDefault="00803D38" w:rsidP="00803D38">
      <w:pPr>
        <w:spacing w:before="120"/>
        <w:jc w:val="center"/>
        <w:rPr>
          <w:b/>
          <w:sz w:val="32"/>
        </w:rPr>
      </w:pPr>
      <w:r w:rsidRPr="002A7979">
        <w:rPr>
          <w:b/>
          <w:sz w:val="32"/>
        </w:rPr>
        <w:t>Судебное правотворчество в процессе правоприменения</w:t>
      </w:r>
    </w:p>
    <w:p w:rsidR="00803D38" w:rsidRPr="002A7979" w:rsidRDefault="00803D38" w:rsidP="00803D38">
      <w:pPr>
        <w:spacing w:before="120"/>
        <w:jc w:val="center"/>
        <w:rPr>
          <w:sz w:val="28"/>
        </w:rPr>
      </w:pPr>
      <w:r w:rsidRPr="002A7979">
        <w:rPr>
          <w:sz w:val="28"/>
        </w:rPr>
        <w:t>Малюшин Алексей Александрович кандидат юридических наук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Подлинно правовой потенциал действующих законодательных и подзаконных актов раскрывается в процессе всей правоприменительной деятельности органов государства, должностных лиц, граждан. Однако особо значима в этом отношении деятельность судов, всей судебной системы государства в целом.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Судебными средствами происходит не только подтверждение и гарантирование права, но также установление и обеспечение права в его конституционном и конкретно-законодательном выражении, т. е. в повышении, а в необходимых случаях и восстановлении содержательно-смыслового и функционального значения применяемых при рассмотрении дел законодательных и подзаконных актов до уровня подлинно правовых.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В Федеральной судебной системе Российской Федерации имеют место, по крайней мере, три относительно самостоятельных и независимых по отношению друг к другу судебные подсистемы, каждая из которых осуществляет специфическую судебную власть. Каждую из этих подсистем возглавляет: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1. Конституционный Суд РФ (статья 125 Конституции РФ);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2. Верховный Суд РФ - высший судебный орган по гражданским, уголовным, административным и иным делам, подсудным судам общей юрисдикции (статья 126 Конституции РФ);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3. Высший Арбитражный Суд - высший судебный орган по разрешению экономических споров и иных дел, рассматриваемых арбитражными судами (статья 127 Конституции РФ).</w:t>
      </w:r>
    </w:p>
    <w:p w:rsidR="00803D38" w:rsidRDefault="00803D38" w:rsidP="00803D38">
      <w:pPr>
        <w:spacing w:before="120"/>
        <w:ind w:firstLine="567"/>
        <w:jc w:val="both"/>
      </w:pPr>
      <w:r w:rsidRPr="002A7979">
        <w:t xml:space="preserve">В свою очередь, каждая из подсистем единой судебной системы это: 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- система судов общей юрисдикции, возглавляемая Верховным Судом Российской Федерации, в которую кроме него также входят верховные суды республик, краевые и областные суды, суды городов федерального значения, суды автономной области и автономных округов, районные суды, военные суды, а также специализированные федеральные суды по рассмотрению гражданских и административных дел, которые могут быть учреждены федеральным конституционным законом;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- система арбитражных судов, возглавляемой Высшим Арбитражным Судом Российской Федерации, в которую также входят федеральные арбитражные суды округов и арбитражные суды субъектов РФ;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- судебный орган - Конституционный Суд РФ, который не возглавляет системы подобных судов за неимением самой системы. Он занимает обособленное положение, не входя ни в одну из указанных систем.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Самостоятельность и независимость каждой из подсистем общей федеральной судебной системы выражается в том, что им принадлежит окончательное разрешение находящихся в их ведении дел. Кроме того, они не обладают полномочием пересматривать решения друг друга. Конституционный Суд РФ не может пересматривать решения какого-либо суда, Верховный Суд РФ - решения Конституционного Суда РФ и арбитражных судов, Высший Арбитражный Суд РФ - решения Конституционного Суда РФ и судов общей юрисдикции.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Современный взгляд на функции судебной власти, суда в рамках всей судебной системы в целом, включает в себя, по нашему мнению также и проявления его правотворчества.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Примечателен следующий факт: еще в 1989 году, будучи председателем Конституционного Суда РФ, Баглай М. В. выступал за то, чтобы над высшими государственными органами (парламентом и правительством) стояли не только те законы, которые они сами принимают и исполняют («статусное право»), но и право, создаваемое непосредственно судами, которое в определенной части изменить законами нельзя. «А эта определенная часть как раз и включает основные гарантии охраны прав человека, гарантии, мешающие сползанию общества к режиму личной власти» - писал Баглай М. В. Вот в чем должна состоять важнейшая роль суда в правовом государстве, и вот почему, по нашему убеждению, следует прямо приравнять судебную доктрину к источникам права.»</w:t>
      </w:r>
      <w:bookmarkStart w:id="0" w:name="_ftnref1"/>
      <w:r w:rsidRPr="002A7979">
        <w:t>[1]</w:t>
      </w:r>
      <w:bookmarkEnd w:id="0"/>
    </w:p>
    <w:p w:rsidR="00803D38" w:rsidRDefault="00803D38" w:rsidP="00803D38">
      <w:pPr>
        <w:spacing w:before="120"/>
        <w:ind w:firstLine="567"/>
        <w:jc w:val="both"/>
      </w:pPr>
      <w:r w:rsidRPr="002A7979">
        <w:t>Данная идея, безусловно, обладает качествами, если не новизны, то, во всяком случае, смелости, прогрессивности, практической востребованности.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Судебное правотворчество в процессе правоприменения совершенно определенно признает и теоретически обосновывает Л. С. Явич. Отмечая, что суд представляет собою единственный государственный орган, отправляющий правосудие, никак не следует, по мнению Л. С. Явича, непременное ограничение деятельности суда применением законов.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«Сама задача отправления правосудия предполагает возможность при отсутствии соответствующего закона восполнить пробел и целесообразность контроля суда за законностью нормативных и иных актов управления. Иное дело, что судебные акты не могут подменять собой законодательство и ему противоречить».</w:t>
      </w:r>
      <w:bookmarkStart w:id="1" w:name="_ftnref2"/>
      <w:r w:rsidRPr="002A7979">
        <w:t>[2]</w:t>
      </w:r>
      <w:bookmarkEnd w:id="1"/>
    </w:p>
    <w:p w:rsidR="00803D38" w:rsidRDefault="00803D38" w:rsidP="00803D38">
      <w:pPr>
        <w:spacing w:before="120"/>
        <w:ind w:firstLine="567"/>
        <w:jc w:val="both"/>
      </w:pPr>
      <w:r w:rsidRPr="002A7979">
        <w:t>По мнению Р. З. Лившица, судебная практика в самых различных своих проявлениях - и при отменен судами нормативных актов, и в разъяснениях пленумов высших судов, и при прямом применении Конституции, и при разрешении конкретных споров - становится источником права. Р. З. Лившиц даже приходит к выводу, что «с теоретических позиций закон перестал быть единственным выражением и воплощением права. И, следовательно, не только законодательство может рассматриваться в качестве источника права. Если судебная практика начала отражать и реализовывать гуманистические, справедливые, подлинно правовые начала, то отпали теоретические предпосылки для</w:t>
      </w:r>
      <w:r>
        <w:t xml:space="preserve"> </w:t>
      </w:r>
      <w:r w:rsidRPr="002A7979">
        <w:t>непризнания ее источником права».</w:t>
      </w:r>
      <w:bookmarkStart w:id="2" w:name="_ftnref3"/>
      <w:r w:rsidRPr="002A7979">
        <w:t>[3]</w:t>
      </w:r>
      <w:bookmarkEnd w:id="2"/>
    </w:p>
    <w:p w:rsidR="00803D38" w:rsidRDefault="00803D38" w:rsidP="00803D38">
      <w:pPr>
        <w:spacing w:before="120"/>
        <w:ind w:firstLine="567"/>
        <w:jc w:val="both"/>
      </w:pPr>
      <w:r w:rsidRPr="002A7979">
        <w:t>Со своей стороны, бывший заместитель председателя Конституционного Суда РФ Морщакова Т. Г., руководствуясь тем, что в правовой системе, построенной на статутном праве, суд не может не быть связан законом, делает вывод: «Иное должно было бы привести к фактическому бездействию статутного права и смешению роли суда и законодателя».</w:t>
      </w:r>
      <w:bookmarkStart w:id="3" w:name="_ftnref4"/>
      <w:r w:rsidRPr="002A7979">
        <w:t>[4]</w:t>
      </w:r>
      <w:bookmarkEnd w:id="3"/>
      <w:r w:rsidRPr="002A7979">
        <w:t xml:space="preserve"> 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Данное рассуждение не представляется достаточно убедительным. Прежде всего, непонятно, почему нормотворческие функции суда, т. е. официальное признание фактического существования в российской правовой системе элементов прецедентного права, способно разрушить эту систему. Разве признание Российской Федерации юрисдикции Европейского Суда с его прецедентным правом повлекло ли хоть в малейшей степени подобные последствия?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Признание правотворческих возможностей судов связывается нередко с их практической необходимостью решать проблему пробельности в подлежащем применению законодательстве. «Когда же обнаруживаются пробелы в законодательном регулировании каких-то отношений, - пишет Л. С. Явич, - то в этом случае длительное и масштабное, единообразное их восполнение судом уже в чистом виде формирует новую юридическую норму».</w:t>
      </w:r>
      <w:bookmarkStart w:id="4" w:name="_ftnref5"/>
      <w:r w:rsidRPr="002A7979">
        <w:t>[5]</w:t>
      </w:r>
      <w:bookmarkEnd w:id="4"/>
    </w:p>
    <w:p w:rsidR="00803D38" w:rsidRDefault="00803D38" w:rsidP="00803D38">
      <w:pPr>
        <w:spacing w:before="120"/>
        <w:ind w:firstLine="567"/>
        <w:jc w:val="both"/>
      </w:pPr>
      <w:r w:rsidRPr="002A7979">
        <w:t>Особую значимость имеет мнение действующего Председателя Конституционного Суда РФ В. Д. Зорькина, высказанное в статье «Прецедентный характер решений Конституционного Суда Российской Федерации». «Правовые позиции Конституционного Суда РФ, содержащиеся в решениях, фактически отражают его особого рода правотворчество. Решения Конституционного Суда РФ с содержащимися в них правовыми позициями занимают особое место в общей системе источников права»</w:t>
      </w:r>
      <w:bookmarkStart w:id="5" w:name="_ftnref6"/>
      <w:r w:rsidRPr="002A7979">
        <w:t>[6]</w:t>
      </w:r>
      <w:bookmarkEnd w:id="5"/>
    </w:p>
    <w:p w:rsidR="00803D38" w:rsidRDefault="00803D38" w:rsidP="00803D38">
      <w:pPr>
        <w:spacing w:before="120"/>
        <w:ind w:firstLine="567"/>
        <w:jc w:val="both"/>
      </w:pPr>
      <w:r w:rsidRPr="002A7979">
        <w:t>Действительно, один из принципиальнейших вопросов в концепции судебной власти, с неизбежностью встающей в процессе осуществления судебной реформы, - может ли суд, столкнувшийся в своей</w:t>
      </w:r>
      <w:r>
        <w:t xml:space="preserve"> </w:t>
      </w:r>
      <w:r w:rsidRPr="002A7979">
        <w:t>правоприменительной практике с образовавшимся пробелом в законодательстве, устранить этот пробел путем создания правовой нормы?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Традиционный, в соответствии с господствующими в российском правоведении представлениями ответ таков: нет, в процессе правоприменительной практики при обнаружении пробела в действующем законодательстве правовую норму суд создать не может. Обнаружившиеся пробелы в законодательстве восполняются посредством выработки и применения индивидуального судебного регулирования, что касается самих пробелов в законодательстве, то их устранение – прерогатива исключительно правотворческих органов. Нормативной же базой восполнения пробелов судом могут быть правовые нормы данной и смежных отраслей законодательства, его принципы и цели. Между тем восполнение судами пробелов в законодательстве осуществляется посредством применения: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- аналогии закона;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- межотраслевой аналогии;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- аналогии права;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- правоположений, выработанных судебной практикой.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Наиболее распространенная и известная форма судебного устранения возникших в процессе правоприменения пробелов в законодательстве - это аналогия. Гражданский кодекс Российской Федерации, например, в части 1 статьи 6 устанавливает возможность применения аналогии закона в случаях, когда предусмотренные пунктами 1 и 2 статьи 2 ГК РФ отношения прямо не урегулированы законодательством или соглашением сторон и отсутствует применимый к ним обычай делового оборота. Если это не противоречит существу данных отношений, то к ним может быть применено гражданское законодательство, регулирующее сходные отношения. Что касается уголовно-правовых дел, то следование судом нормам Уголовного Кодекса РФ носит здесь строго императивный характер, в связи с чем, применение уголовного закона по аналогии не допускается (статья 3 УК РФ). Показательно в этой связи и то, что сам принцип законности Уголовный Кодекс РФ сводит к тому, что преступность деяния, а также его наказуемость и иные уголовно-правовые последствия определяются только самим Уголовным Кодексом. Суд, в данном случае, в своей правоприменительной деятельности жестко детерминирован предписанием статья 3 УК РФ.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Итак, в гражданско-правовых отношениях, но не в уголовно-правовых, суд может в отдельных случаях применять норму закона, не предназначенную непосредственно регулировать те отношения, которые в данном деле суд разрешает.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Но суд (опять же, лишь в гражданско-правовых делах, а не в уголовно-правовых) может в отдельных случаях руководствоваться вообще не нормой закона, а нормой обычая (обычного права).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Особенностью такой модели правоприменения является то, что суд при разрешении конкретного гражданского дела применяет правовую норму, содержащуюся не в законе, а в обычном праве, т. е. Правовую норму, законом не санкционированную. Такими нормами в гражданско-правовой практике являются «обычаи делового оборота».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«Обычаем делового оборота» признается, согласно части 1 статьи 5 ГК РФ, сложившееся и широко применяемое в какой-либо области предпринимательской деятельности правило поведения, не предусмотренное законодательством, независимо от того, заменяться</w:t>
      </w:r>
      <w:r>
        <w:t xml:space="preserve"> </w:t>
      </w:r>
      <w:r w:rsidRPr="002A7979">
        <w:t>судом те обычаи делового оборота, которые противоречат обязательным для участников соответствующего отношения положениям.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Представляется в связи с этим весьма содержательной и перспективной точка зрения, ранее высказанная С. Н. Братусем и А. Б. Венгеровым. Согласно сформулированной ими позиции, требуется признать, что пробел в законе преодолевается не путем подведения не урегулированной нормой права ситуации под сходную норму, а путем создания судом по аналогии с ней другой нормы, на основе которой и выносится решение».</w:t>
      </w:r>
      <w:bookmarkStart w:id="6" w:name="_ftnref7"/>
      <w:r w:rsidRPr="002A7979">
        <w:t>[7]</w:t>
      </w:r>
      <w:bookmarkEnd w:id="6"/>
    </w:p>
    <w:p w:rsidR="00803D38" w:rsidRDefault="00803D38" w:rsidP="00803D38">
      <w:pPr>
        <w:spacing w:before="120"/>
        <w:ind w:firstLine="567"/>
        <w:jc w:val="both"/>
      </w:pPr>
      <w:r w:rsidRPr="002A7979">
        <w:t>«Новое знание, полученное опосредованным путем (правоположения судебной практики), носит не достоверный, а вероятный характер. Причем степень его вероятности повышается с установлением большего количества сходных признаков в сопоставляемых общественных отношениях пишет В. В. Ершов. В этой связи существенно повышается роль и значение профессиональной подготовки судей, глубокого изучения действующего законодательства и обстоятельств дела».</w:t>
      </w:r>
      <w:bookmarkStart w:id="7" w:name="_ftnref8"/>
      <w:r w:rsidRPr="002A7979">
        <w:t>[8]</w:t>
      </w:r>
      <w:bookmarkEnd w:id="7"/>
    </w:p>
    <w:p w:rsidR="00803D38" w:rsidRDefault="00803D38" w:rsidP="00803D38">
      <w:pPr>
        <w:spacing w:before="120"/>
        <w:ind w:firstLine="567"/>
        <w:jc w:val="both"/>
      </w:pPr>
      <w:r w:rsidRPr="002A7979">
        <w:t>Применяемая судом аналогия закона и права - это, следовательно, форма судебного правотворчества.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В сущности, аналогия судом закона или права носит в правоприменительной деятельности суда достаточно редкий, если не сказать случайный, характер. Ведь вызывает ее единственное в своем роде обстоятельство - пробел в законе. С достижением стопроцентной беспробельности будет, казалось бы, ликвидирована и сама проблема применения судами метода аналогии. Но вопрос нам представляется значительно более сложным. Не говоря уже о том, что достижение абсолютной беспробельности права и закона в принципе невозможно уже по причине динамичности и изменчивости реальных отношений, постоянно требующих модернизации нормативно-правового обеспечения. Главное же это то, что суд в применении закона и права должен в значительно большей мере, чем ранее, проявлять самостоятельность, свободу действий, инициативу. Аналогия закона и права как бы обрисовывает контуры тех возможностей и пределов, где суд, ориентируясь относительно свободно в выборе правовых средств и методов конкретного урегулирования, производит соответствующий выбор и принимает не предписанное, а самостоятельное решение. Вот эти весьма скромные, по существу зачаточные потенции самостоятельности и независимости суда должны, на наш взгляд, получить свое продолжение и развитие уже и в отношении всей правоприменительной практики судов. Опыт, полученный в исключительных условиях, должен стать отправной ступенью к качественному преобразованию правоприменительной их деятельности.</w:t>
      </w:r>
    </w:p>
    <w:p w:rsidR="00803D38" w:rsidRDefault="00803D38" w:rsidP="00803D38">
      <w:pPr>
        <w:spacing w:before="120"/>
        <w:ind w:firstLine="567"/>
        <w:jc w:val="both"/>
      </w:pPr>
      <w:r w:rsidRPr="002A7979">
        <w:t xml:space="preserve">Близка к аналогии закона и права также форма правоприменительной деятельности суда, связанная с проблемой существования пробела в законодательном регулировании, которая требует для своего разрешения использования общепризнанных принципов и норм международного права, а также правил международных договоров Российской Федерации. Показательно в этом отношении определение Конституционного Суда РФ от 21 декабря 2000 года № 296-О. 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Решая вопрос о применении судом норм международного права в случае обнаружившегося пробела в действующем законодательстве, Конституционный Суд РФ указал: «В силу статьи 15 (часть 4) Конституции Российской Федерации правила международного договора обладают приоритетом по отношению к внутреннему законодательству и в случае отсутствия в нем норм, регулирующих соответствующие отношения, подлежат применению при рассмотрении конкретных дел».</w:t>
      </w:r>
      <w:bookmarkStart w:id="8" w:name="_ftnref9"/>
      <w:r w:rsidRPr="002A7979">
        <w:t>[9]</w:t>
      </w:r>
      <w:bookmarkEnd w:id="8"/>
    </w:p>
    <w:p w:rsidR="00803D38" w:rsidRDefault="00803D38" w:rsidP="00803D38">
      <w:pPr>
        <w:spacing w:before="120"/>
        <w:ind w:firstLine="567"/>
        <w:jc w:val="both"/>
      </w:pPr>
      <w:r w:rsidRPr="002A7979">
        <w:t xml:space="preserve">Однако указанное положение определения Конституционного Суда РФ вызывает ряд существенных возражений: 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во-первых, в качестве составной части правовой системы Российской Федерации Конституция РФ относит, прежде всего, общепризнанные принципы и нормы международного права, а не исключительно правила международного договора Российской Федерации, как это можно понять из вышеприведенного текста определения. Могущие быть примененными судом взамен отсутствующих нормы Международного пакта о гражданских и политических правах, а также Конвенции о защите прав человека и основных свобод как раз и относятся к числу общепризнанных принципов и норм. Что касается применения судом правил международных договоров, то в силу пункта 3 статьи 5 Федерального закона РФ «О международных договорах Российской Федерации» положения официально опубликованных международных договоров Российской Федерации, не требующие издания внутригосударственных актов для применения, действуют в Российской Федерации непосредственно. В иных случаях наряду с международным договором Российской Федерации следует применять и соответствующий внутригосударственный правовой акт, принятый для осуществления положений указанного международного договора;</w:t>
      </w:r>
      <w:bookmarkStart w:id="9" w:name="_ftnref10"/>
      <w:r w:rsidRPr="002A7979">
        <w:t>[10]</w:t>
      </w:r>
      <w:bookmarkEnd w:id="9"/>
    </w:p>
    <w:p w:rsidR="00803D38" w:rsidRDefault="00803D38" w:rsidP="00803D38">
      <w:pPr>
        <w:spacing w:before="120"/>
        <w:ind w:firstLine="567"/>
        <w:jc w:val="both"/>
      </w:pPr>
      <w:r w:rsidRPr="002A7979">
        <w:t>во-вторых, общепризнанные принципы и нормы международного права и правила международных договоров Российской Федерации подлежат применению судом при рассмотрении конкретных дел в случае обнаружившегося пробела в законодательстве отнюдь не в силу их приоритета по отношению к внутреннему законодательству, как утверждается в постановлении Конституционного Суда Российской Федерации, а исключительно в силу того, что они являются составной частью правовой системы РФ (часть 4 статьи 15 Конституции РФ). Принцип же правового приоритета тех или иных норм не предназначен решать, и не решает проблему ликвидации пробелов в законодательной регламентации и, соответственно, в правоприменительной деятельности судов.</w:t>
      </w:r>
    </w:p>
    <w:p w:rsidR="00803D38" w:rsidRDefault="00803D38" w:rsidP="00803D38">
      <w:pPr>
        <w:spacing w:before="120"/>
        <w:ind w:firstLine="567"/>
        <w:jc w:val="both"/>
      </w:pPr>
      <w:r w:rsidRPr="002A7979">
        <w:t xml:space="preserve">Самостоятельную модель правоприменения в случае отсутствия соответствующей нормы права представляет, по нашему мнению, порядок, когда суд при разрешении гражданско-правовых дел вообще не руководствуется какой-либо конкретной нормой права, за неимением таковой ни в законе, ни в обычном праве, а по существу сам создает норму права. Не имея возможности использовать аналогию закона, суд, согласно статьи 6 (часть 2) ГК РФ, сам определяет права и обязанности сторон правоотношения. При этом он исходит из общих начал и смысла гражданского законодательства, а также из требований добросовестности, разумности и справедливости. Такая модель правоприменения в части 2 статьи 6 ГК РФ, когда суд исходит из общих начал и смысла гражданского законодательства, носит наименование «аналогия права». 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Но такая терминология нам представляется не вполне корректной. В действительности здесь суд - правоприменитель использует если и аналогию, то аналогию не права, воплощенного в законе, а правового представления суда о той должной норме, которая отвечала бы в полной мере смыслу и духу действующего законодательства и оптимальным образом урегулировала бы отношение. На этом основании воссозданную самим судом норму есть все основания, по нашему мнению отнести к норме правовой, санкционированной властью самого суда, однако аналогии здесь нет. Такая форма правоприменительного восполнения судом обнаружившегося пробела в законодательстве необходима и правомерна, однако находится вне пределов понятия «аналогия». По существу же мы имеем в данном случае ту форму правотворчества в сфере правоприменительной деятельности суда, который связан с ключевым понятием «судебное усмотрение». Суд в этом случае, т. е. в условиях обнаружившегося пробела в нормативно-законодательной системе, в своей правоприменительной деятельности не прибегает к аналогии и к привлечению международно-правовых норм, а самостоятельно формирует норму, создает ее в тех необходимых и законодательных пределах, соблюдение которых и составляет неотъемлемую часть самого понятия «судебное усмотрение».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В правоприменительном режиме «собственного усмотрения» судья также может, применяя общее правовое предписание (норму права) к конкретным обстоятельствам дела, давать собственное толкование нормы. Он может также, как говорит об этом постановление Конституционного Суда Российской Федерации № 1-П от 25 января 2001 года, принимать решение «в пределах предоставленной ему законом свободы усмотрения (иногда весьма значительной) и зачастую оценивает обстоятельства, не имея достаточной информации (иногда скрываемой от него)».</w:t>
      </w:r>
      <w:bookmarkStart w:id="10" w:name="_ftnref11"/>
      <w:r w:rsidRPr="002A7979">
        <w:t>[11]</w:t>
      </w:r>
      <w:bookmarkEnd w:id="10"/>
    </w:p>
    <w:p w:rsidR="00803D38" w:rsidRDefault="00803D38" w:rsidP="00803D38">
      <w:pPr>
        <w:spacing w:before="120"/>
        <w:ind w:firstLine="567"/>
        <w:jc w:val="both"/>
      </w:pPr>
      <w:r w:rsidRPr="002A7979">
        <w:t>Право на судебное усмотрение, так же как и судебная дискреция - это такие формы правоприменительной деятельности суда, которые не могут не служить источниками судебного правотворчества. Ведь новые правовые нормы возникают и в том случае, когда в условиях пробела в законодат6ельстве судья вынужден выбирать и применять общепризнанные принципы и нормы международного права, а также правила международных договоров Российской Федерации лишь на том основании, что они решают проблему пробела в законодательстве, обладая конституционным статусом составной части правовой системы Российской Федерации.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Безусловно, судебное правоприменение порождает новую правовую норму при обстоятельствах пробела в гражданско-правовом законодательстве, когда судья, непосредственно формируя эту норму, руководствуется общими началами и смыслом этой отрасли законодательства, требованиями добросовестности, разумности и справедливости.</w:t>
      </w:r>
    </w:p>
    <w:p w:rsidR="00803D38" w:rsidRDefault="00803D38" w:rsidP="00803D38">
      <w:pPr>
        <w:spacing w:before="120"/>
        <w:ind w:firstLine="567"/>
        <w:jc w:val="both"/>
      </w:pPr>
      <w:r w:rsidRPr="002A7979">
        <w:t>Но как это и усматривается из вышеприведенного постановления Конституционного Суда от 25 января 2001 года судебное усмотрение и дискреционные функции суда, особенно в условиях острого дефицита информации, могут стать основой судебного правотворчества и безотносительно к проблемам пробелов</w:t>
      </w:r>
      <w:r>
        <w:t xml:space="preserve"> </w:t>
      </w:r>
      <w:r w:rsidRPr="002A7979">
        <w:t>в законодательстве.</w:t>
      </w:r>
    </w:p>
    <w:p w:rsidR="00803D38" w:rsidRPr="002A7979" w:rsidRDefault="00803D38" w:rsidP="00803D38">
      <w:pPr>
        <w:spacing w:before="120"/>
        <w:jc w:val="center"/>
        <w:rPr>
          <w:b/>
          <w:sz w:val="28"/>
        </w:rPr>
      </w:pPr>
      <w:bookmarkStart w:id="11" w:name="_ftn1"/>
      <w:r w:rsidRPr="002A7979">
        <w:rPr>
          <w:b/>
          <w:sz w:val="28"/>
        </w:rPr>
        <w:t>Список литературы</w:t>
      </w:r>
    </w:p>
    <w:p w:rsidR="00803D38" w:rsidRPr="002A7979" w:rsidRDefault="00803D38" w:rsidP="00803D38">
      <w:pPr>
        <w:spacing w:before="120"/>
        <w:ind w:firstLine="567"/>
        <w:jc w:val="both"/>
      </w:pPr>
      <w:r w:rsidRPr="002A7979">
        <w:t xml:space="preserve"> [1]</w:t>
      </w:r>
      <w:bookmarkEnd w:id="11"/>
      <w:r w:rsidRPr="002A7979">
        <w:t xml:space="preserve"> Баглай М. В. Правовое государство: от идеи к практике. «Коммунист». 1989. № 6. С. 43.</w:t>
      </w:r>
    </w:p>
    <w:p w:rsidR="00803D38" w:rsidRPr="002A7979" w:rsidRDefault="00803D38" w:rsidP="00803D38">
      <w:pPr>
        <w:spacing w:before="120"/>
        <w:ind w:firstLine="567"/>
        <w:jc w:val="both"/>
      </w:pPr>
      <w:bookmarkStart w:id="12" w:name="_ftn2"/>
      <w:r w:rsidRPr="002A7979">
        <w:t>[2]</w:t>
      </w:r>
      <w:bookmarkEnd w:id="12"/>
      <w:r w:rsidRPr="002A7979">
        <w:t xml:space="preserve"> Явич Л. С. Сущность права. Л. 1985, с. 140.</w:t>
      </w:r>
    </w:p>
    <w:p w:rsidR="00803D38" w:rsidRPr="002A7979" w:rsidRDefault="00803D38" w:rsidP="00803D38">
      <w:pPr>
        <w:spacing w:before="120"/>
        <w:ind w:firstLine="567"/>
        <w:jc w:val="both"/>
      </w:pPr>
      <w:bookmarkStart w:id="13" w:name="_ftn3"/>
      <w:r w:rsidRPr="002A7979">
        <w:t>[3]</w:t>
      </w:r>
      <w:bookmarkEnd w:id="13"/>
      <w:r w:rsidRPr="002A7979">
        <w:t xml:space="preserve"> Лившиц Р. З. Судебная практика как источник права. В книге «Судебная практика как источник права». М. 1997. С. 5.</w:t>
      </w:r>
    </w:p>
    <w:p w:rsidR="00803D38" w:rsidRPr="002A7979" w:rsidRDefault="00803D38" w:rsidP="00803D38">
      <w:pPr>
        <w:spacing w:before="120"/>
        <w:ind w:firstLine="567"/>
        <w:jc w:val="both"/>
      </w:pPr>
      <w:bookmarkStart w:id="14" w:name="_ftn4"/>
      <w:r w:rsidRPr="002A7979">
        <w:t>[4]</w:t>
      </w:r>
      <w:bookmarkEnd w:id="14"/>
      <w:r w:rsidRPr="002A7979">
        <w:t xml:space="preserve"> «Государство и право», 1997. № 5, с. 7</w:t>
      </w:r>
    </w:p>
    <w:p w:rsidR="00803D38" w:rsidRPr="002A7979" w:rsidRDefault="00803D38" w:rsidP="00803D38">
      <w:pPr>
        <w:spacing w:before="120"/>
        <w:ind w:firstLine="567"/>
        <w:jc w:val="both"/>
      </w:pPr>
      <w:bookmarkStart w:id="15" w:name="_ftn5"/>
      <w:r w:rsidRPr="002A7979">
        <w:t>[5]</w:t>
      </w:r>
      <w:bookmarkEnd w:id="15"/>
      <w:r w:rsidRPr="002A7979">
        <w:t xml:space="preserve"> Явич Л. С. Сущность права, Л.1985, с. 140.</w:t>
      </w:r>
    </w:p>
    <w:p w:rsidR="00803D38" w:rsidRPr="002A7979" w:rsidRDefault="00803D38" w:rsidP="00803D38">
      <w:pPr>
        <w:spacing w:before="120"/>
        <w:ind w:firstLine="567"/>
        <w:jc w:val="both"/>
      </w:pPr>
      <w:bookmarkStart w:id="16" w:name="_ftn6"/>
      <w:r w:rsidRPr="002A7979">
        <w:t>[6]</w:t>
      </w:r>
      <w:bookmarkEnd w:id="16"/>
      <w:r w:rsidRPr="002A7979">
        <w:t xml:space="preserve"> Зорькин В.Д. Прецедентный характер решений Конституционного Суда Российской Федерации «Журнал Российского права» 2004, №12, с.4.</w:t>
      </w:r>
    </w:p>
    <w:p w:rsidR="00803D38" w:rsidRPr="002A7979" w:rsidRDefault="00803D38" w:rsidP="00803D38">
      <w:pPr>
        <w:spacing w:before="120"/>
        <w:ind w:firstLine="567"/>
        <w:jc w:val="both"/>
      </w:pPr>
      <w:bookmarkStart w:id="17" w:name="_ftn7"/>
      <w:r w:rsidRPr="002A7979">
        <w:t>[7]</w:t>
      </w:r>
      <w:bookmarkEnd w:id="17"/>
      <w:r w:rsidRPr="002A7979">
        <w:t xml:space="preserve"> Братусь С. Н., Венгеров А. Б. Понятие, содержание и форма судебной практика. М., 1975.</w:t>
      </w:r>
    </w:p>
    <w:p w:rsidR="00803D38" w:rsidRPr="002A7979" w:rsidRDefault="00803D38" w:rsidP="00803D38">
      <w:pPr>
        <w:spacing w:before="120"/>
        <w:ind w:firstLine="567"/>
        <w:jc w:val="both"/>
      </w:pPr>
      <w:bookmarkStart w:id="18" w:name="_ftn8"/>
      <w:r w:rsidRPr="002A7979">
        <w:t>[8]</w:t>
      </w:r>
      <w:bookmarkEnd w:id="18"/>
      <w:r w:rsidRPr="002A7979">
        <w:t xml:space="preserve"> Ершов В. В. Судебное правоприменение (теоретические и практические проблемы). М. 1991, с. 23.</w:t>
      </w:r>
    </w:p>
    <w:p w:rsidR="00803D38" w:rsidRPr="002A7979" w:rsidRDefault="00803D38" w:rsidP="00803D38">
      <w:pPr>
        <w:spacing w:before="120"/>
        <w:ind w:firstLine="567"/>
        <w:jc w:val="both"/>
      </w:pPr>
      <w:bookmarkStart w:id="19" w:name="_ftn9"/>
      <w:r w:rsidRPr="002A7979">
        <w:t>[9]</w:t>
      </w:r>
      <w:bookmarkEnd w:id="19"/>
      <w:r w:rsidRPr="002A7979">
        <w:t xml:space="preserve"> Собрание законодательства РФ 2001. № 17. Ст. 1766.</w:t>
      </w:r>
    </w:p>
    <w:p w:rsidR="00803D38" w:rsidRPr="002A7979" w:rsidRDefault="00803D38" w:rsidP="00803D38">
      <w:pPr>
        <w:spacing w:before="120"/>
        <w:ind w:firstLine="567"/>
        <w:jc w:val="both"/>
      </w:pPr>
      <w:bookmarkStart w:id="20" w:name="_ftn10"/>
      <w:r w:rsidRPr="002A7979">
        <w:t>[10]</w:t>
      </w:r>
      <w:bookmarkEnd w:id="20"/>
      <w:r w:rsidRPr="002A7979">
        <w:t xml:space="preserve"> Постановление Пленума Верховного Суда РФ от 31 октября 1995. № 8. «Бюллетень Верховного Суда РФ» 1996. № 2</w:t>
      </w:r>
    </w:p>
    <w:p w:rsidR="00803D38" w:rsidRPr="002A7979" w:rsidRDefault="00803D38" w:rsidP="00803D38">
      <w:pPr>
        <w:spacing w:before="120"/>
        <w:ind w:firstLine="567"/>
        <w:jc w:val="both"/>
      </w:pPr>
      <w:bookmarkStart w:id="21" w:name="_ftn11"/>
      <w:r w:rsidRPr="002A7979">
        <w:t>[11]</w:t>
      </w:r>
      <w:bookmarkEnd w:id="21"/>
      <w:r w:rsidRPr="002A7979">
        <w:t xml:space="preserve"> Собрание законодательства РФ 2001. № 7. Ст. 700.</w:t>
      </w:r>
    </w:p>
    <w:p w:rsidR="00811DD4" w:rsidRDefault="00811DD4">
      <w:bookmarkStart w:id="22" w:name="_GoBack"/>
      <w:bookmarkEnd w:id="22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D38"/>
    <w:rsid w:val="002A7979"/>
    <w:rsid w:val="006B315C"/>
    <w:rsid w:val="00803D38"/>
    <w:rsid w:val="00811DD4"/>
    <w:rsid w:val="00952732"/>
    <w:rsid w:val="00C7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4E22E0-4F48-4474-B513-7256DD17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D3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03D3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2996</Words>
  <Characters>17082</Characters>
  <Application>Microsoft Office Word</Application>
  <DocSecurity>0</DocSecurity>
  <Lines>142</Lines>
  <Paragraphs>40</Paragraphs>
  <ScaleCrop>false</ScaleCrop>
  <Company>Home</Company>
  <LinksUpToDate>false</LinksUpToDate>
  <CharactersWithSpaces>20038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Судебное правотворчество в процессе правоприменения</dc:title>
  <dc:subject/>
  <dc:creator>User</dc:creator>
  <cp:keywords/>
  <dc:description/>
  <cp:lastModifiedBy>admin</cp:lastModifiedBy>
  <cp:revision>2</cp:revision>
  <dcterms:created xsi:type="dcterms:W3CDTF">2014-02-19T23:23:00Z</dcterms:created>
  <dcterms:modified xsi:type="dcterms:W3CDTF">2014-02-19T23:23:00Z</dcterms:modified>
</cp:coreProperties>
</file>