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05" w:rsidRPr="008B61F2" w:rsidRDefault="00730205" w:rsidP="00730205">
      <w:pPr>
        <w:spacing w:before="120"/>
        <w:jc w:val="center"/>
        <w:rPr>
          <w:b/>
          <w:bCs/>
          <w:sz w:val="28"/>
          <w:szCs w:val="28"/>
        </w:rPr>
      </w:pPr>
      <w:r w:rsidRPr="008B61F2">
        <w:rPr>
          <w:b/>
          <w:bCs/>
          <w:sz w:val="28"/>
          <w:szCs w:val="28"/>
        </w:rPr>
        <w:t xml:space="preserve">Транспортная безопасность: вопросы юридической регламентации </w:t>
      </w:r>
    </w:p>
    <w:p w:rsidR="00730205" w:rsidRPr="008B61F2" w:rsidRDefault="00730205" w:rsidP="00730205">
      <w:pPr>
        <w:spacing w:before="120"/>
        <w:jc w:val="center"/>
        <w:rPr>
          <w:sz w:val="28"/>
          <w:szCs w:val="28"/>
        </w:rPr>
      </w:pPr>
      <w:r w:rsidRPr="008B61F2">
        <w:rPr>
          <w:sz w:val="28"/>
          <w:szCs w:val="28"/>
        </w:rPr>
        <w:t xml:space="preserve">В.В. Морозов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>Нормативное правовое регулирование – фундаментальное направление государственной политики в сфере транспортной безопасности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До недавнего времени вопросам юридической регламентации деятельности различных субъектов по обеспечению транспортной безопасности не придавалось существенного значения. Во всяком случае, комплексный подход к их решению отсутствовал. Сам термин «транспортная безопасность» советскому и российскому законодательству не был известен. Однако после подписания 9 февраля 2007 г. Президентом Российской Федерации Федерального закона № 16-ФЗ «О транспортной безопасности» он впервые получил юридическое закрепление.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В августе 2007 года закон вступил в силу. В связи с тем, что отдельные разрабатываемые нормативные правовые акты не имеют аналогов в российской и международной практике, так как закон носит рамочный характер, имеет сложную правовую конструкцию, содержит множество порученческих норм. Это требует внесения изменений в целый ряд действующих нормативных актов и проведение дополнительной глубокой научной проработки последствий принимаемых решений, поэтому остро встала задача разработки подзаконных необходимых нормативных правовых актов, как Правительства Российской Федерации, так и ведомственных, для его реализации.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Реализация Федерального закона осложняется тем, что в нем содержится ряд отсылочных норм, которые обращены к разным субъектам обеспечения транспортной безопасности. В частности, Правительству Российской Федерации по поручению законодателя предстоит своими нормативными правовыми актами: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– определить федеральные органы исполнительной власти, уполномоченные осуществлять функции по оказанию государственных услуг в области обеспечения транспортной безопасности (п. 3 ст. 1 Закона), то есть компетентные органы, которыми, в нашем понимании, являются федеральные агентства по видам транспорта;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- утвердить порядок аккредитования специализированных организаций в области обеспечения транспортной безопасности (п. 8 ст. 1).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При этом законодатель определил, что специализированные организации в области обеспечения транспортной безопасности – это юридические лица, аккредитованные компетентными органами в области обеспечения транспортной безопасности для проведения оценки уязвимости объектов транспортной инфраструктуры и транспортных средств;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– утвердить перечень уровней безопасности и порядок их объявления при изменении степени угрозы совершения акта незаконного вмешательства в деятельность транспортного комплекса (п. 2 ст. 7);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– установить требования по обеспечению транспортной безопасности для различных категорий объектов транспортной инфраструктуры и транспортных средств (ст. 8);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– утвердить перечень работ, профессий, должностей, непосредственно связанных с обеспечением транспортной безопасности (п. 2 ст. 10).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- утвердить отдельные маршруты, при перевозках по которым персональные данные о пассажирах подлежат передаче в автоматизированные централизованные базы персональных данных о пассажирах (подп. 4 п. 2 ст. 11). Перечень этих маршрутов будет формироваться по представлению ФСБ России, МВД России, ФСО России и Минобороны России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– установить порядок формирования и ведения автоматизированных централизованных баз персональных данных о пассажирах и предоставления содержащихся в них данных (п. 6 ст. 11).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Немалый объем правоустанавливающей работы возлагается на Минтранс России как основной субъект и координатор деятельности по обеспечению транспортной безопасности. Во взаимодействии с заинтересованными федеральными органами исполнительной власти ему необходимо разработать и утвердить: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порядок проведения оценки уязвимости объектов транспортной инфраструктуры и транспортных средств (п.1 ст.5);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порядок установления количества категорий и критерии категорирования объектов (п. 1 ст. 6);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порядок ведения реестров категорированных объектов транспортной инфраструктуры и транспортных средств (п.3 ст.6);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порядок разработки планов обеспечения транспортной безопасности (п. 1 ст. 9);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порядок информирования субъектами транспортной инфраструктуры и перевозчиками об угрозах совершения актов незаконного вмешательства (подп. 1 п. 2 ст. 12).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На Федеральные агентства будут возложены следующие функции компетентного органа в области транспортной безопасности: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– утверждение результатов проведенной оценки уязвимости объектов;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– категорирование объектов транспортной инфраструктуры;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– ведение реестров категорированных объектов;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– утверждение планов обеспечения транспортной безопасности.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ФСБ России и МВД России, как компетентные органы в области безопасности и области внутренних дел, при этом непосредственно участвуют практически во всех мероприятиях плана. Кроме того, организации и подразделения ФСБ России и МВД России наравне с аккредитованными специализированными организациями могут проводить на договорной основе оценку уязвимости объектов транспортной инфраструктуры.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Тарифы на проведение оценки уязвимости устанавливаются государством, т.е. Федеральной службой по тарифам.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Отныне реализация законодательных предписаний будет носить системный характер и основываться на научно-обоснованных критериях. В учебные планы отраслевых образовательных учреждений планируется ввести специальный курс «Обеспечение транспортной безопасности». На агентства будут возложена обязанность обеспечить первоначальную подготовку, переподготовку и повышение квалификации работников, занятых этой важной деятельностью.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Основная нагрузка по исполнению закона, безусловно, ляжет на субъекты транспортной инфраструктуры – юридические и физические лица, являющиеся собственниками объектов транспортной инфраструктуры и транспортных средств или использующие их на ином законном основании.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После того, как компетентные органы определят категории опасных объектов и транспортных средств, субъекты транспортной инфраструктуры должны будут выбрать специализированную организацию для проведения оценки уязвимости этих объектов. Результаты оценки уязвимости утверждаются компетентным органом.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На основе утвержденной оценки уязвимости субъекты транспортной инфраструктуры разрабатывают планы обеспечения транспортной безопасности, в порядке, который определит Министерство транспорта.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Планы обеспечения транспортной безопасности согласовываются территориальными органами ФСБ России и МВД России и утверждаются компетентными органами.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При этом надо иметь ввиду, что государство по-прежнему остается основным владельцем транспортной инфраструктуры. Прежде всего, это аэродромы, портовые сооружения, автомобильные дороги, судоходные каналы на внутренних водных путях.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Поэтому основную финансовую нагрузку будет нести государство.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Вопрос цены реализации требований закона вызывал и вызывает большую озабоченность бизнеса и собственников транспортных средств.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Во многом это будет определяться теми нормативными документами, которые в настоящее время разрабатываются во исполнение закона. </w:t>
      </w:r>
    </w:p>
    <w:p w:rsidR="00730205" w:rsidRPr="00EB2005" w:rsidRDefault="00730205" w:rsidP="00730205">
      <w:pPr>
        <w:spacing w:before="120"/>
        <w:ind w:firstLine="567"/>
        <w:jc w:val="both"/>
      </w:pPr>
      <w:r w:rsidRPr="00EB2005">
        <w:t xml:space="preserve">Подготовлено по материалам «круглого стола» в Академии Генпрокуратуры России по вопросу обеспечения транспортной безопасности 24.12.2007 г.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205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730205"/>
    <w:rsid w:val="00755964"/>
    <w:rsid w:val="008B61F2"/>
    <w:rsid w:val="008C19D7"/>
    <w:rsid w:val="00A44D32"/>
    <w:rsid w:val="00E12572"/>
    <w:rsid w:val="00EB2005"/>
    <w:rsid w:val="00EF3B4C"/>
    <w:rsid w:val="00F9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E497C1-3B7B-4D3B-B718-EE53AA9A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20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0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1055</Words>
  <Characters>6017</Characters>
  <Application>Microsoft Office Word</Application>
  <DocSecurity>0</DocSecurity>
  <Lines>50</Lines>
  <Paragraphs>14</Paragraphs>
  <ScaleCrop>false</ScaleCrop>
  <Company>Home</Company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Транспортная безопасность: вопросы юридической регламентации </dc:title>
  <dc:subject/>
  <dc:creator>Alena</dc:creator>
  <cp:keywords/>
  <dc:description/>
  <cp:lastModifiedBy>admin</cp:lastModifiedBy>
  <cp:revision>2</cp:revision>
  <dcterms:created xsi:type="dcterms:W3CDTF">2014-02-19T18:32:00Z</dcterms:created>
  <dcterms:modified xsi:type="dcterms:W3CDTF">2014-02-19T18:32:00Z</dcterms:modified>
</cp:coreProperties>
</file>