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F4" w:rsidRPr="00192AB2" w:rsidRDefault="00324AF4" w:rsidP="00324AF4">
      <w:pPr>
        <w:spacing w:before="120"/>
        <w:jc w:val="center"/>
        <w:rPr>
          <w:b/>
          <w:sz w:val="32"/>
        </w:rPr>
      </w:pPr>
      <w:r w:rsidRPr="00192AB2">
        <w:rPr>
          <w:b/>
          <w:sz w:val="32"/>
        </w:rPr>
        <w:t>Увеличение выхода блочной продукции за счет оптимизации технологических параметров добычи при разработке месторождений Южного Урала</w:t>
      </w:r>
    </w:p>
    <w:p w:rsidR="00324AF4" w:rsidRPr="00192AB2" w:rsidRDefault="00324AF4" w:rsidP="00324AF4">
      <w:pPr>
        <w:spacing w:before="120"/>
        <w:jc w:val="center"/>
        <w:rPr>
          <w:sz w:val="28"/>
        </w:rPr>
      </w:pPr>
      <w:r w:rsidRPr="00192AB2">
        <w:rPr>
          <w:sz w:val="28"/>
        </w:rPr>
        <w:t xml:space="preserve">д-р техн. наук Першин Г. Д., канд. техн. наук Караулов Г. А., </w:t>
      </w:r>
    </w:p>
    <w:p w:rsidR="00324AF4" w:rsidRPr="00192AB2" w:rsidRDefault="00324AF4" w:rsidP="00324AF4">
      <w:pPr>
        <w:spacing w:before="120"/>
        <w:jc w:val="center"/>
        <w:rPr>
          <w:sz w:val="28"/>
        </w:rPr>
      </w:pPr>
      <w:r w:rsidRPr="00192AB2">
        <w:rPr>
          <w:sz w:val="28"/>
        </w:rPr>
        <w:t>канд. техн. наук Доможиров Д. В., канд. техн. наук Караулов Н. Г.</w:t>
      </w:r>
    </w:p>
    <w:p w:rsidR="00324AF4" w:rsidRPr="00192AB2" w:rsidRDefault="00324AF4" w:rsidP="00324AF4">
      <w:pPr>
        <w:spacing w:before="120"/>
        <w:jc w:val="center"/>
        <w:rPr>
          <w:sz w:val="28"/>
        </w:rPr>
      </w:pPr>
      <w:r w:rsidRPr="00192AB2">
        <w:rPr>
          <w:sz w:val="28"/>
        </w:rPr>
        <w:t>Магнитогорский государственный  технический университет им. Г.И. Носова</w:t>
      </w:r>
    </w:p>
    <w:p w:rsidR="00324AF4" w:rsidRDefault="00324AF4" w:rsidP="00324AF4">
      <w:pPr>
        <w:spacing w:before="120"/>
        <w:ind w:firstLine="567"/>
        <w:jc w:val="both"/>
      </w:pPr>
      <w:r w:rsidRPr="00192AB2">
        <w:t>Рассматривается особенность залегания мраморных месторождений с точки зрения многосистемной естественной трещиноватости горного массива. Выбран показатель блочности как критерий товарности добываемых мраморных блоков. Разработана методика определения оптимальных технологических параметров (высота добычного уступа) для максимального выхода блоков.</w:t>
      </w:r>
      <w:r>
        <w:t xml:space="preserve"> 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>Мрамор, как строительно-облицовочный материал, используется давно и повсеместно, в силу своих декоративных свойств, прочности и долговечности. Особенно широкое распространение он получил в настоящее время, когда из сферы строительства эффективное его применение расширилось на многие отрасли народного хозяйства.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 xml:space="preserve">Особенностью залегания мраморных месторождений является многосистемная естественная трещиноватость горного массива, что формирует в нем природные отдельности разного объема. В процессе добычных работ на естественные трещины массива накладываются пропилы, образующие искусственно созданные отдельности различного объема. При последующей разделке и пассировке этих объемов получают товарные блоки правильной геометрической формы. 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 xml:space="preserve">Ценность товарных блоков зависит от их объема. Для производства облицовочных и строительно-архитектурных изделий из мрамора применяют в основном блоки объемами свыше </w:t>
      </w:r>
      <w:smartTag w:uri="urn:schemas-microsoft-com:office:smarttags" w:element="metricconverter">
        <w:smartTagPr>
          <w:attr w:name="ProductID" w:val="3 м3"/>
        </w:smartTagPr>
        <w:r w:rsidRPr="00192AB2">
          <w:t>3 м3</w:t>
        </w:r>
      </w:smartTag>
      <w:r w:rsidRPr="00192AB2">
        <w:t xml:space="preserve"> (I и II группа ГОСТа 9479-98 «Блоки из природного камня для производства облицовочных изделий»), при которых обеспечивается высокая техническая производительность современных камнеобрабатывающих линий и снижаются удельные технологические потери блочной продукции.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 xml:space="preserve">Выход блоков товарной кондиции (свыше </w:t>
      </w:r>
      <w:smartTag w:uri="urn:schemas-microsoft-com:office:smarttags" w:element="metricconverter">
        <w:smartTagPr>
          <w:attr w:name="ProductID" w:val="3 м3"/>
        </w:smartTagPr>
        <w:r w:rsidRPr="00192AB2">
          <w:t>3 м3</w:t>
        </w:r>
      </w:smartTag>
      <w:r w:rsidRPr="00192AB2">
        <w:t>) зависит от параметров системы разработки месторождения, главными из которых являются высота уступа, ширина заходки и направление фронта добычных работ [1]. Именно эти параметры определяют объемы монолита, отделяемого от массива, и его расположение относительно основной системы природных трещин, влияя на выход блоков из горной массы.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 xml:space="preserve">Из блоков I и II групп возможно изготовление слэбов, стоимость которых в 2-3 раза выше стоимости модульной плитки, получаемой из блоков I-III групп (объемом более </w:t>
      </w:r>
      <w:smartTag w:uri="urn:schemas-microsoft-com:office:smarttags" w:element="metricconverter">
        <w:smartTagPr>
          <w:attr w:name="ProductID" w:val="0,7 м3"/>
        </w:smartTagPr>
        <w:r w:rsidRPr="00192AB2">
          <w:t>0,7</w:t>
        </w:r>
        <w:r>
          <w:t xml:space="preserve"> </w:t>
        </w:r>
        <w:r w:rsidRPr="00192AB2">
          <w:t>м3</w:t>
        </w:r>
      </w:smartTag>
      <w:r w:rsidRPr="00192AB2">
        <w:t>).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 xml:space="preserve">В разработанных ранее методиках [2], обоснование оптимальной высоты уступа проводилось без учета последующей переработки блоков, а именно, не учитывалась разница в стоимости блоков и эффективности их переработки в зависимости от объема и соответствия группам ГОСТа 9479-98. </w:t>
      </w:r>
    </w:p>
    <w:p w:rsidR="00324AF4" w:rsidRDefault="00324AF4" w:rsidP="00324AF4">
      <w:pPr>
        <w:spacing w:before="120"/>
        <w:ind w:firstLine="567"/>
        <w:jc w:val="both"/>
      </w:pPr>
      <w:r w:rsidRPr="00192AB2">
        <w:t>Для нахождения оптимального значения высоты уступа (монолита) с учетом минимального объема блока, соответствующего той или иной группе ГОСТа, получено оптимизационное выражение [3]: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object w:dxaOrig="1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6.75pt" o:ole="" fillcolor="window">
            <v:imagedata r:id="rId4" o:title=""/>
          </v:shape>
          <o:OLEObject Type="Embed" ProgID="Equation.3" ShapeID="_x0000_i1025" DrawAspect="Content" ObjectID="_1454371678" r:id="rId5"/>
        </w:object>
      </w:r>
      <w:r w:rsidRPr="00192AB2">
        <w:t>,</w:t>
      </w:r>
      <w:r>
        <w:t xml:space="preserve"> </w:t>
      </w:r>
      <w:r w:rsidRPr="00192AB2">
        <w:t>(1)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lastRenderedPageBreak/>
        <w:t xml:space="preserve">где оптимальная высота пропила </w:t>
      </w:r>
      <w:r w:rsidRPr="00192AB2">
        <w:object w:dxaOrig="360" w:dyaOrig="380">
          <v:shape id="_x0000_i1026" type="#_x0000_t75" style="width:18pt;height:18.75pt" o:ole="" fillcolor="window">
            <v:imagedata r:id="rId6" o:title=""/>
          </v:shape>
          <o:OLEObject Type="Embed" ProgID="Equation.3" ShapeID="_x0000_i1026" DrawAspect="Content" ObjectID="_1454371679" r:id="rId7"/>
        </w:object>
      </w:r>
      <w:r w:rsidRPr="00192AB2">
        <w:t xml:space="preserve"> для абсолютно монолитного массива, когда коэффициент выхода блоков из него равен единице (</w:t>
      </w:r>
      <w:r w:rsidRPr="00192AB2">
        <w:object w:dxaOrig="340" w:dyaOrig="340">
          <v:shape id="_x0000_i1027" type="#_x0000_t75" style="width:17.25pt;height:17.25pt" o:ole="" fillcolor="window">
            <v:imagedata r:id="rId8" o:title=""/>
          </v:shape>
          <o:OLEObject Type="Embed" ProgID="Equation.3" ShapeID="_x0000_i1027" DrawAspect="Content" ObjectID="_1454371680" r:id="rId9"/>
        </w:object>
      </w:r>
      <w:r w:rsidRPr="00192AB2">
        <w:t>);</w:t>
      </w:r>
    </w:p>
    <w:p w:rsidR="00324AF4" w:rsidRDefault="00324AF4" w:rsidP="00324AF4">
      <w:pPr>
        <w:spacing w:before="120"/>
        <w:ind w:firstLine="567"/>
        <w:jc w:val="both"/>
      </w:pPr>
      <w:r w:rsidRPr="00192AB2">
        <w:object w:dxaOrig="1860" w:dyaOrig="800">
          <v:shape id="_x0000_i1028" type="#_x0000_t75" style="width:93pt;height:39.75pt" o:ole="" fillcolor="window">
            <v:imagedata r:id="rId10" o:title=""/>
          </v:shape>
          <o:OLEObject Type="Embed" ProgID="Equation.3" ShapeID="_x0000_i1028" DrawAspect="Content" ObjectID="_1454371681" r:id="rId11"/>
        </w:object>
      </w:r>
      <w:r w:rsidRPr="00192AB2">
        <w:t xml:space="preserve"> – показатель блочности (</w:t>
      </w:r>
      <w:r w:rsidRPr="00192AB2">
        <w:object w:dxaOrig="400" w:dyaOrig="340">
          <v:shape id="_x0000_i1029" type="#_x0000_t75" style="width:20.25pt;height:17.25pt" o:ole="" fillcolor="window">
            <v:imagedata r:id="rId12" o:title=""/>
          </v:shape>
          <o:OLEObject Type="Embed" ProgID="Equation.3" ShapeID="_x0000_i1029" DrawAspect="Content" ObjectID="_1454371682" r:id="rId13"/>
        </w:object>
      </w:r>
      <w:r w:rsidRPr="00192AB2">
        <w:t xml:space="preserve">– минимальный объем блока по группе ГОСТа, м3; </w:t>
      </w:r>
      <w:r w:rsidRPr="00192AB2">
        <w:object w:dxaOrig="440" w:dyaOrig="360">
          <v:shape id="_x0000_i1030" type="#_x0000_t75" style="width:21.75pt;height:18pt" o:ole="" fillcolor="window">
            <v:imagedata r:id="rId14" o:title=""/>
          </v:shape>
          <o:OLEObject Type="Embed" ProgID="Equation.3" ShapeID="_x0000_i1030" DrawAspect="Content" ObjectID="_1454371683" r:id="rId15"/>
        </w:object>
      </w:r>
      <w:r w:rsidRPr="00192AB2">
        <w:t xml:space="preserve"> – коффициент интенсивности трещиноватости горного массива м2/м3).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>Таким образом, показатель n зависит от интенсивности трещиноватости массива и мимнимального объема блока, с которого ведется подсчет коэффициента выхода блоков по участку месторождения (рис. 1). Показатель n увеличивается с 0,28 до 0,77 (рис. 2) (параметры трещин и размеры монолита приняты для условий Коелгинского и Редутовского месторождения), если в первом случае учитывать в качестве минимального блока объем</w:t>
      </w:r>
      <w:r>
        <w:t xml:space="preserve"> </w:t>
      </w:r>
      <w:r w:rsidRPr="00192AB2">
        <w:t xml:space="preserve">Vmin = </w:t>
      </w:r>
      <w:smartTag w:uri="urn:schemas-microsoft-com:office:smarttags" w:element="metricconverter">
        <w:smartTagPr>
          <w:attr w:name="ProductID" w:val="0,7 м3"/>
        </w:smartTagPr>
        <w:r w:rsidRPr="00192AB2">
          <w:t>0,7 м3</w:t>
        </w:r>
      </w:smartTag>
      <w:r w:rsidRPr="00192AB2">
        <w:t xml:space="preserve">, а во втором Vmin = </w:t>
      </w:r>
      <w:smartTag w:uri="urn:schemas-microsoft-com:office:smarttags" w:element="metricconverter">
        <w:smartTagPr>
          <w:attr w:name="ProductID" w:val="5,0 м3"/>
        </w:smartTagPr>
        <w:r w:rsidRPr="00192AB2">
          <w:t>5,0 м3</w:t>
        </w:r>
      </w:smartTag>
      <w:r w:rsidRPr="00192AB2">
        <w:t xml:space="preserve">, т.е для первого варианта расчет выхода продукции вести для I-III категории блочности, согласно ГОСТ 9479-98, а во втором варианте – только для I категории. Минимальный объем добытого блока необходимо выбирать из условия, выгодной реализации дорогостоящей готовой продукции, изготовленной из него. </w:t>
      </w:r>
    </w:p>
    <w:p w:rsidR="00324AF4" w:rsidRPr="00192AB2" w:rsidRDefault="00324AF4" w:rsidP="00324AF4">
      <w:pPr>
        <w:spacing w:before="120"/>
        <w:ind w:firstLine="567"/>
        <w:jc w:val="both"/>
      </w:pPr>
    </w:p>
    <w:tbl>
      <w:tblPr>
        <w:tblW w:w="6948" w:type="dxa"/>
        <w:jc w:val="center"/>
        <w:tblLayout w:type="fixed"/>
        <w:tblLook w:val="01E0" w:firstRow="1" w:lastRow="1" w:firstColumn="1" w:lastColumn="1" w:noHBand="0" w:noVBand="0"/>
      </w:tblPr>
      <w:tblGrid>
        <w:gridCol w:w="3348"/>
        <w:gridCol w:w="3600"/>
      </w:tblGrid>
      <w:tr w:rsidR="00324AF4" w:rsidRPr="00192AB2" w:rsidTr="00FF01E9">
        <w:trPr>
          <w:trHeight w:val="2543"/>
          <w:jc w:val="center"/>
        </w:trPr>
        <w:tc>
          <w:tcPr>
            <w:tcW w:w="3348" w:type="dxa"/>
            <w:vAlign w:val="bottom"/>
          </w:tcPr>
          <w:p w:rsidR="00324AF4" w:rsidRPr="00192AB2" w:rsidRDefault="00324AF4" w:rsidP="00FF01E9">
            <w:pPr>
              <w:spacing w:before="120"/>
              <w:ind w:firstLine="567"/>
              <w:jc w:val="both"/>
            </w:pPr>
            <w:r w:rsidRPr="00192AB2">
              <w:t>а</w:t>
            </w:r>
          </w:p>
          <w:p w:rsidR="00324AF4" w:rsidRPr="00192AB2" w:rsidRDefault="00E45B13" w:rsidP="00FF01E9">
            <w:pPr>
              <w:spacing w:before="120"/>
              <w:ind w:firstLine="567"/>
              <w:jc w:val="both"/>
            </w:pPr>
            <w:r>
              <w:pict>
                <v:shape id="Picture 24" o:spid="_x0000_i1031" type="#_x0000_t75" style="width:161.25pt;height:105.75pt;visibility:visible">
                  <v:imagedata r:id="rId16" o:title=""/>
                </v:shape>
              </w:pict>
            </w:r>
          </w:p>
          <w:p w:rsidR="00324AF4" w:rsidRPr="00192AB2" w:rsidRDefault="00324AF4" w:rsidP="00FF01E9">
            <w:pPr>
              <w:spacing w:before="120"/>
              <w:ind w:firstLine="567"/>
              <w:jc w:val="both"/>
            </w:pPr>
          </w:p>
        </w:tc>
        <w:tc>
          <w:tcPr>
            <w:tcW w:w="3600" w:type="dxa"/>
            <w:vAlign w:val="bottom"/>
          </w:tcPr>
          <w:p w:rsidR="00324AF4" w:rsidRPr="00192AB2" w:rsidRDefault="00324AF4" w:rsidP="00FF01E9">
            <w:pPr>
              <w:spacing w:before="120"/>
              <w:ind w:firstLine="567"/>
              <w:jc w:val="both"/>
            </w:pPr>
            <w:r w:rsidRPr="00192AB2">
              <w:t>б</w:t>
            </w:r>
          </w:p>
          <w:p w:rsidR="00324AF4" w:rsidRPr="00192AB2" w:rsidRDefault="00E45B13" w:rsidP="00FF01E9">
            <w:pPr>
              <w:spacing w:before="120"/>
              <w:ind w:firstLine="567"/>
              <w:jc w:val="both"/>
            </w:pPr>
            <w:r>
              <w:pict>
                <v:shape id="Picture 25" o:spid="_x0000_i1032" type="#_x0000_t75" style="width:162.75pt;height:108pt;visibility:visible">
                  <v:imagedata r:id="rId17" o:title=""/>
                </v:shape>
              </w:pict>
            </w:r>
          </w:p>
          <w:p w:rsidR="00324AF4" w:rsidRPr="00192AB2" w:rsidRDefault="00324AF4" w:rsidP="00FF01E9">
            <w:pPr>
              <w:spacing w:before="120"/>
              <w:ind w:firstLine="567"/>
              <w:jc w:val="both"/>
            </w:pPr>
          </w:p>
        </w:tc>
      </w:tr>
    </w:tbl>
    <w:p w:rsidR="00324AF4" w:rsidRPr="00192AB2" w:rsidRDefault="00324AF4" w:rsidP="00324AF4">
      <w:pPr>
        <w:spacing w:before="120"/>
        <w:ind w:firstLine="567"/>
        <w:jc w:val="both"/>
      </w:pPr>
      <w:r w:rsidRPr="00192AB2">
        <w:t>Рис. 1.</w:t>
      </w:r>
      <w:r>
        <w:t xml:space="preserve"> </w:t>
      </w:r>
      <w:r w:rsidRPr="00192AB2">
        <w:t>Зависимость коэффициента выхода блоков от высоты уступа (Н) и группы блоков по ГОСТ 9479-98 для Коелгинского месторождения мрамора: 1 – блоки I группы, 2 – блоки I -II группы, 3 – блоки</w:t>
      </w:r>
      <w:r>
        <w:t xml:space="preserve"> </w:t>
      </w:r>
      <w:r w:rsidRPr="00192AB2">
        <w:t xml:space="preserve">I-III группы (а – интенсивность трещиноватости 0,77 м2/м3, </w:t>
      </w:r>
    </w:p>
    <w:p w:rsidR="00324AF4" w:rsidRDefault="00324AF4" w:rsidP="00324AF4">
      <w:pPr>
        <w:spacing w:before="120"/>
        <w:ind w:firstLine="567"/>
        <w:jc w:val="both"/>
      </w:pPr>
      <w:r w:rsidRPr="00192AB2">
        <w:t>б – интенсивность трещиноватости 0,44 м2/м3).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>Показатель n, являясь критерием товарности добываемых блоков, определяет и оптимальную высоту добычного уступа по выражению (1) через минимальный объем блока и степень трещиноватости горного массива (см. рис. 2). Если за минимальный блок товарной кондиции</w:t>
      </w:r>
      <w:r>
        <w:t xml:space="preserve"> </w:t>
      </w:r>
      <w:r w:rsidRPr="00192AB2">
        <w:t>принять объем</w:t>
      </w:r>
      <w:r>
        <w:t xml:space="preserve"> </w:t>
      </w:r>
      <w:r w:rsidRPr="00192AB2">
        <w:t xml:space="preserve">Vmin = </w:t>
      </w:r>
      <w:smartTag w:uri="urn:schemas-microsoft-com:office:smarttags" w:element="metricconverter">
        <w:smartTagPr>
          <w:attr w:name="ProductID" w:val="3 м3"/>
        </w:smartTagPr>
        <w:r w:rsidRPr="00192AB2">
          <w:t>3 м3</w:t>
        </w:r>
      </w:smartTag>
      <w:r w:rsidRPr="00192AB2">
        <w:t xml:space="preserve">, то согласно рис. 2, оптимальная высота добычного уступа составит для участков месторождения: со степенью трещиноватости 0,77 м2/м3 – Ноп = </w:t>
      </w:r>
      <w:smartTag w:uri="urn:schemas-microsoft-com:office:smarttags" w:element="metricconverter">
        <w:smartTagPr>
          <w:attr w:name="ProductID" w:val="8 м"/>
        </w:smartTagPr>
        <w:r w:rsidRPr="00192AB2">
          <w:t>8 м</w:t>
        </w:r>
      </w:smartTag>
      <w:r w:rsidRPr="00192AB2">
        <w:t xml:space="preserve">; со степенью трещиноватости 0,44 м2/м3 – </w:t>
      </w:r>
      <w:r w:rsidRPr="00192AB2">
        <w:object w:dxaOrig="840" w:dyaOrig="400">
          <v:shape id="_x0000_i1033" type="#_x0000_t75" style="width:42pt;height:20.25pt" o:ole="">
            <v:imagedata r:id="rId18" o:title=""/>
          </v:shape>
          <o:OLEObject Type="Embed" ProgID="Equation.3" ShapeID="_x0000_i1033" DrawAspect="Content" ObjectID="_1454371684" r:id="rId19"/>
        </w:object>
      </w:r>
      <w:r w:rsidRPr="00192AB2">
        <w:t xml:space="preserve"> м.</w:t>
      </w:r>
    </w:p>
    <w:p w:rsidR="00324AF4" w:rsidRPr="00192AB2" w:rsidRDefault="00E45B13" w:rsidP="00324AF4">
      <w:pPr>
        <w:spacing w:before="120"/>
        <w:ind w:firstLine="567"/>
        <w:jc w:val="both"/>
      </w:pPr>
      <w:r>
        <w:pict>
          <v:shape id="Picture 26" o:spid="_x0000_i1034" type="#_x0000_t75" style="width:323.25pt;height:159pt;visibility:visible">
            <v:imagedata r:id="rId20" o:title=""/>
          </v:shape>
        </w:pict>
      </w:r>
    </w:p>
    <w:p w:rsidR="00324AF4" w:rsidRDefault="00324AF4" w:rsidP="00324AF4">
      <w:pPr>
        <w:spacing w:before="120"/>
        <w:ind w:firstLine="567"/>
        <w:jc w:val="both"/>
      </w:pPr>
      <w:r w:rsidRPr="00192AB2">
        <w:t>Рис. 2. Номограмма по определению оптимальной высоты уступа от показателя блочности и минимального объема товарного блока, м3; с интенсивностью трещиноватости (Кит) 0,44 (■); 0,77 (●); 1,12 (▲) м2/м3 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>Однако для принятия окончательного проектного решения по выбору рациональной высоты добычного уступа следует учитывать и суммарную выручку от реализации всего блочного сырья, получаемого из горной массы.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 xml:space="preserve">Так, для степени трещиноватости горного массива 0,77 м2/м3 показателем товарности блоков n1 = 0,59 (Vmin =3,0 м3) и n2 = 0,73 (Vmin = </w:t>
      </w:r>
      <w:smartTag w:uri="urn:schemas-microsoft-com:office:smarttags" w:element="metricconverter">
        <w:smartTagPr>
          <w:attr w:name="ProductID" w:val="5,0 м3"/>
        </w:smartTagPr>
        <w:r w:rsidRPr="00192AB2">
          <w:t>5,0 м3</w:t>
        </w:r>
      </w:smartTag>
      <w:r w:rsidRPr="00192AB2">
        <w:t xml:space="preserve">) соответствуют следующие расчетные высоты уступов: </w:t>
      </w:r>
      <w:r w:rsidRPr="00192AB2">
        <w:object w:dxaOrig="820" w:dyaOrig="360">
          <v:shape id="_x0000_i1035" type="#_x0000_t75" style="width:41.25pt;height:18pt" o:ole="">
            <v:imagedata r:id="rId21" o:title=""/>
          </v:shape>
          <o:OLEObject Type="Embed" ProgID="Equation.3" ShapeID="_x0000_i1035" DrawAspect="Content" ObjectID="_1454371685" r:id="rId22"/>
        </w:object>
      </w:r>
      <w:r w:rsidRPr="00192AB2">
        <w:t xml:space="preserve"> м и </w:t>
      </w:r>
      <w:r w:rsidRPr="00192AB2">
        <w:object w:dxaOrig="920" w:dyaOrig="360">
          <v:shape id="_x0000_i1036" type="#_x0000_t75" style="width:45.75pt;height:18pt" o:ole="">
            <v:imagedata r:id="rId23" o:title=""/>
          </v:shape>
          <o:OLEObject Type="Embed" ProgID="Equation.3" ShapeID="_x0000_i1036" DrawAspect="Content" ObjectID="_1454371686" r:id="rId24"/>
        </w:object>
      </w:r>
      <w:r w:rsidRPr="00192AB2">
        <w:t xml:space="preserve"> м, для которых суммарная выручка от реализации блочной продукции изменяется всего лишь на 3 % (рис. 3). При этом с увеличением высоты уступа увеличиваются удельные эксплуатационные затраты, поэтому согласно экономическому критерию в данном случае за рациональную высоту уступа следует принимать оптимальное расчетное значение </w:t>
      </w:r>
      <w:r w:rsidRPr="00192AB2">
        <w:object w:dxaOrig="820" w:dyaOrig="400">
          <v:shape id="_x0000_i1037" type="#_x0000_t75" style="width:41.25pt;height:20.25pt" o:ole="">
            <v:imagedata r:id="rId25" o:title=""/>
          </v:shape>
          <o:OLEObject Type="Embed" ProgID="Equation.3" ShapeID="_x0000_i1037" DrawAspect="Content" ObjectID="_1454371687" r:id="rId26"/>
        </w:object>
      </w:r>
      <w:r w:rsidRPr="00192AB2">
        <w:t xml:space="preserve"> м. Анализ более блочного участка месторождения со степенью трещиноватости 0,44 м2/м3 показывает, что увеличение высоты уступа с величины </w:t>
      </w:r>
      <w:smartTag w:uri="urn:schemas-microsoft-com:office:smarttags" w:element="metricconverter">
        <w:smartTagPr>
          <w:attr w:name="ProductID" w:val="9 м"/>
        </w:smartTagPr>
        <w:r w:rsidRPr="00192AB2">
          <w:t>9 м</w:t>
        </w:r>
      </w:smartTag>
      <w:r w:rsidRPr="00192AB2">
        <w:t xml:space="preserve"> до </w:t>
      </w:r>
      <w:smartTag w:uri="urn:schemas-microsoft-com:office:smarttags" w:element="metricconverter">
        <w:smartTagPr>
          <w:attr w:name="ProductID" w:val="11 м"/>
        </w:smartTagPr>
        <w:r w:rsidRPr="00192AB2">
          <w:t>11 м</w:t>
        </w:r>
      </w:smartTag>
      <w:r w:rsidRPr="00192AB2">
        <w:t xml:space="preserve"> ведет к повышению суммарной выручки на 20 %. Поэтому для рассматриваемого варианта имеет смысл за рациональное значение высоты уступа принять интервал H = 10-</w:t>
      </w:r>
      <w:smartTag w:uri="urn:schemas-microsoft-com:office:smarttags" w:element="metricconverter">
        <w:smartTagPr>
          <w:attr w:name="ProductID" w:val="11 м"/>
        </w:smartTagPr>
        <w:r w:rsidRPr="00192AB2">
          <w:t>11 м</w:t>
        </w:r>
      </w:smartTag>
      <w:r w:rsidRPr="00192AB2">
        <w:t>.</w:t>
      </w:r>
    </w:p>
    <w:tbl>
      <w:tblPr>
        <w:tblW w:w="7122" w:type="dxa"/>
        <w:jc w:val="center"/>
        <w:tblLook w:val="01E0" w:firstRow="1" w:lastRow="1" w:firstColumn="1" w:lastColumn="1" w:noHBand="0" w:noVBand="0"/>
      </w:tblPr>
      <w:tblGrid>
        <w:gridCol w:w="4040"/>
        <w:gridCol w:w="3866"/>
      </w:tblGrid>
      <w:tr w:rsidR="00324AF4" w:rsidRPr="00192AB2" w:rsidTr="00FF01E9">
        <w:trPr>
          <w:trHeight w:val="2720"/>
          <w:jc w:val="center"/>
        </w:trPr>
        <w:tc>
          <w:tcPr>
            <w:tcW w:w="3637" w:type="dxa"/>
          </w:tcPr>
          <w:p w:rsidR="00324AF4" w:rsidRPr="00192AB2" w:rsidRDefault="00324AF4" w:rsidP="00FF01E9">
            <w:pPr>
              <w:spacing w:before="120"/>
              <w:ind w:firstLine="567"/>
              <w:jc w:val="both"/>
            </w:pPr>
            <w:r w:rsidRPr="00192AB2">
              <w:t>а</w:t>
            </w:r>
          </w:p>
          <w:p w:rsidR="00324AF4" w:rsidRPr="00192AB2" w:rsidRDefault="00E45B13" w:rsidP="00FF01E9">
            <w:pPr>
              <w:spacing w:before="120"/>
              <w:ind w:firstLine="567"/>
              <w:jc w:val="both"/>
            </w:pPr>
            <w:r>
              <w:pict>
                <v:shape id="Picture 31" o:spid="_x0000_i1038" type="#_x0000_t75" style="width:160.5pt;height:124.5pt;visibility:visible">
                  <v:imagedata r:id="rId27" o:title=""/>
                </v:shape>
              </w:pict>
            </w:r>
          </w:p>
        </w:tc>
        <w:tc>
          <w:tcPr>
            <w:tcW w:w="3485" w:type="dxa"/>
          </w:tcPr>
          <w:p w:rsidR="00324AF4" w:rsidRPr="00192AB2" w:rsidRDefault="00324AF4" w:rsidP="00FF01E9">
            <w:pPr>
              <w:spacing w:before="120"/>
              <w:ind w:firstLine="567"/>
              <w:jc w:val="both"/>
            </w:pPr>
            <w:r w:rsidRPr="00192AB2">
              <w:t>б</w:t>
            </w:r>
          </w:p>
          <w:p w:rsidR="00324AF4" w:rsidRPr="00192AB2" w:rsidRDefault="00E45B13" w:rsidP="00FF01E9">
            <w:pPr>
              <w:spacing w:before="120"/>
              <w:ind w:firstLine="567"/>
              <w:jc w:val="both"/>
            </w:pPr>
            <w:r>
              <w:pict>
                <v:shape id="Picture 32" o:spid="_x0000_i1039" type="#_x0000_t75" style="width:151.5pt;height:123pt;visibility:visible">
                  <v:imagedata r:id="rId28" o:title=""/>
                </v:shape>
              </w:pict>
            </w:r>
          </w:p>
        </w:tc>
      </w:tr>
    </w:tbl>
    <w:p w:rsidR="00324AF4" w:rsidRPr="00192AB2" w:rsidRDefault="00324AF4" w:rsidP="00324AF4">
      <w:pPr>
        <w:spacing w:before="120"/>
        <w:ind w:firstLine="567"/>
        <w:jc w:val="both"/>
      </w:pPr>
      <w:r w:rsidRPr="00192AB2">
        <w:t xml:space="preserve">Рис. 3. Выручки от реализации сырья в зависимости от показателя блочности (а – интенсивность трещиноватости 0,77 м2/м3, </w:t>
      </w:r>
    </w:p>
    <w:p w:rsidR="00324AF4" w:rsidRDefault="00324AF4" w:rsidP="00324AF4">
      <w:pPr>
        <w:spacing w:before="120"/>
        <w:ind w:firstLine="567"/>
        <w:jc w:val="both"/>
      </w:pPr>
      <w:r w:rsidRPr="00192AB2">
        <w:t>б – интенсивность трещиноватости 0,44 м2/м3) при производительности карьера по мрамору 90 тыс. м3 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 xml:space="preserve">Работа системы «карьер – камнеобрабатывающее производство» должна быть всегда направлена на выпуск более дорогостоящей продукции, например слэбов, что обосновывает нижний предел товарности (ценности) блоков объемом не ниже </w:t>
      </w:r>
      <w:smartTag w:uri="urn:schemas-microsoft-com:office:smarttags" w:element="metricconverter">
        <w:smartTagPr>
          <w:attr w:name="ProductID" w:val="3 м3"/>
        </w:smartTagPr>
        <w:r w:rsidRPr="00192AB2">
          <w:t>3 м3</w:t>
        </w:r>
      </w:smartTag>
      <w:r w:rsidRPr="00192AB2">
        <w:t>.</w:t>
      </w:r>
    </w:p>
    <w:p w:rsidR="00324AF4" w:rsidRDefault="00324AF4" w:rsidP="00324AF4">
      <w:pPr>
        <w:spacing w:before="120"/>
        <w:ind w:firstLine="567"/>
        <w:jc w:val="both"/>
      </w:pPr>
      <w:r w:rsidRPr="00192AB2">
        <w:t>Заключение. Применение разработанной методики определения высоты добычного уступа для максимального выхода комерческих блоков I и II групп ГОСТа 9479-98 обеспечит максимальную прибыль от реализации добываемого сырья.</w:t>
      </w:r>
    </w:p>
    <w:p w:rsidR="00324AF4" w:rsidRPr="00192AB2" w:rsidRDefault="00324AF4" w:rsidP="00324AF4">
      <w:pPr>
        <w:spacing w:before="120"/>
        <w:jc w:val="center"/>
        <w:rPr>
          <w:b/>
          <w:sz w:val="28"/>
        </w:rPr>
      </w:pPr>
      <w:r w:rsidRPr="00192AB2">
        <w:rPr>
          <w:b/>
          <w:sz w:val="28"/>
        </w:rPr>
        <w:t>Список литературы</w:t>
      </w:r>
    </w:p>
    <w:p w:rsidR="00324AF4" w:rsidRPr="00192AB2" w:rsidRDefault="00E45B13" w:rsidP="00324AF4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5pt;margin-top:34.1pt;width:117pt;height:18pt;z-index:251658240" filled="f" stroked="f">
            <v:textbox inset="0">
              <w:txbxContent>
                <w:p w:rsidR="00324AF4" w:rsidRPr="0091527E" w:rsidRDefault="00324AF4" w:rsidP="00324AF4">
                  <w:pPr>
                    <w:rPr>
                      <w:spacing w:val="2"/>
                      <w:sz w:val="12"/>
                      <w:szCs w:val="12"/>
                    </w:rPr>
                  </w:pPr>
                  <w:r>
                    <w:rPr>
                      <w:spacing w:val="2"/>
                      <w:sz w:val="16"/>
                      <w:szCs w:val="12"/>
                    </w:rPr>
                    <w:t>6</w:t>
                  </w:r>
                  <w:r w:rsidRPr="0091527E">
                    <w:rPr>
                      <w:spacing w:val="2"/>
                      <w:sz w:val="16"/>
                      <w:szCs w:val="12"/>
                    </w:rPr>
                    <w:t xml:space="preserve"> </w:t>
                  </w:r>
                  <w:r w:rsidRPr="0091527E">
                    <w:rPr>
                      <w:spacing w:val="2"/>
                      <w:sz w:val="12"/>
                      <w:szCs w:val="12"/>
                    </w:rPr>
                    <w:t>Труды молодых ученых  № 4,  2007</w:t>
                  </w:r>
                </w:p>
              </w:txbxContent>
            </v:textbox>
          </v:shape>
        </w:pict>
      </w:r>
      <w:r w:rsidR="00324AF4" w:rsidRPr="00192AB2">
        <w:t>Косолапов А.И., Невежин А.Ю. Исследование зависимости параметров технологии от пространственной изменчивости выхода блоков при комбинированной разработке месторождений мрамора. Сб. научных трудов. Магнитогорск, 2007. С. 89-96.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>Першин Г.Д., Караулов Г.А., Караулов Н.Г. Добыча блоков мрамора алмазно-канатными пилами. Учеб. пособие. Магнитогорск: МГТУ, 2003.</w:t>
      </w:r>
    </w:p>
    <w:p w:rsidR="00324AF4" w:rsidRPr="00192AB2" w:rsidRDefault="00324AF4" w:rsidP="00324AF4">
      <w:pPr>
        <w:spacing w:before="120"/>
        <w:ind w:firstLine="567"/>
        <w:jc w:val="both"/>
      </w:pPr>
      <w:r w:rsidRPr="00192AB2">
        <w:t>3</w:t>
      </w:r>
      <w:r>
        <w:t xml:space="preserve"> </w:t>
      </w:r>
      <w:r w:rsidRPr="00192AB2">
        <w:t>Першин Г.Д., Караулов Г.А., Караулов Н.Г., Караулов А.Г. Обоснование способов комплексного использования мраморного сырья. Вестник МГТУ. 2007.№1 (17). С. 31-35.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AF4"/>
    <w:rsid w:val="00192AB2"/>
    <w:rsid w:val="00324AF4"/>
    <w:rsid w:val="00811DD4"/>
    <w:rsid w:val="0091527E"/>
    <w:rsid w:val="00AC598F"/>
    <w:rsid w:val="00E45B13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87FFBFE7-6A64-488F-8173-1B4E1CA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AF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324AF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9.wmf"/><Relationship Id="rId26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image" Target="media/image13.w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9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2.wmf"/><Relationship Id="rId28" Type="http://schemas.openxmlformats.org/officeDocument/2006/relationships/image" Target="media/image15.e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4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1098</Words>
  <Characters>6260</Characters>
  <Application>Microsoft Office Word</Application>
  <DocSecurity>0</DocSecurity>
  <Lines>52</Lines>
  <Paragraphs>14</Paragraphs>
  <ScaleCrop>false</ScaleCrop>
  <Company>Home</Company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Увеличение выхода блочной продукции за счет оптимизации технологических параметров добычи при разработке месторождений Южного Урала</dc:title>
  <dc:subject/>
  <dc:creator>User</dc:creator>
  <cp:keywords/>
  <dc:description/>
  <cp:lastModifiedBy>admin</cp:lastModifiedBy>
  <cp:revision>2</cp:revision>
  <dcterms:created xsi:type="dcterms:W3CDTF">2014-02-20T01:21:00Z</dcterms:created>
  <dcterms:modified xsi:type="dcterms:W3CDTF">2014-02-20T01:21:00Z</dcterms:modified>
</cp:coreProperties>
</file>