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74" w:rsidRPr="00E63BE8" w:rsidRDefault="00B93674" w:rsidP="00B93674">
      <w:pPr>
        <w:spacing w:before="120"/>
        <w:jc w:val="center"/>
        <w:rPr>
          <w:b/>
          <w:bCs/>
          <w:sz w:val="32"/>
          <w:szCs w:val="32"/>
        </w:rPr>
      </w:pPr>
      <w:r w:rsidRPr="00E63BE8">
        <w:rPr>
          <w:b/>
          <w:bCs/>
          <w:sz w:val="32"/>
          <w:szCs w:val="32"/>
        </w:rPr>
        <w:t>Виагра - лучшие эрекции для лучшего секса</w:t>
      </w:r>
    </w:p>
    <w:p w:rsidR="00B93674" w:rsidRPr="00B93674" w:rsidRDefault="00B93674" w:rsidP="00B93674">
      <w:pPr>
        <w:spacing w:before="120"/>
        <w:jc w:val="center"/>
        <w:rPr>
          <w:sz w:val="28"/>
          <w:szCs w:val="28"/>
        </w:rPr>
      </w:pPr>
      <w:r w:rsidRPr="00B93674">
        <w:rPr>
          <w:sz w:val="28"/>
          <w:szCs w:val="28"/>
        </w:rPr>
        <w:t>И. И. Горпинченко, Украинский институт сексологии и андрологии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"Виагра - лучшие эрекции для лучшего секса" Под таким заголовком прозвучали материалы о клинической эффективности Виагры по сравнению с другими ингибиторами фосфодиэстеразы 5-го типа на Всемирном Конгрессе Международного Общества Исследований Импотенции и Сексуальности (ISSIR), состоявшемся 19 октября 2004 года в Буэнос-Айресе (Аргентина).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Доктор Luiz Otavio Torres, глава Урологического отдела Бразильского общества Андрологов и Президент Латиноамериканского отдела ISSIR , представил фундаментальные данные всемирного исследования, в котором приняли участие более 1500 мужчин. Было показано, что мужчины с эректильной дисфункцией (ЭД) хотят удовлетворять своих сексуальных партнеров, поэтому при выборе препарата для лечения ЭД важное для них значение имеет "твердость" эрекции и уверенность в наступлении эффекта. Результаты этого исследования показали, что Виагра обеспечивает значительное улучшение взаимоотношений сексуальных партнеров, уверенность и самооценку мужчины.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В международном исследовании, проведенном в Бразилии, Мексике, Австралии и Японии с использованием вопросников SEAR IIEF , было продемонстрировано значительное улучшение взаимоотношений, уверенности и самооценки мужчин, принимающих Виагру [2]. "Эти данные показали, что Виагра оказывает значительное влияние на всю половую жизнь мужчины" — прокомментировал исследование автор.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Эффективность и хорошая переносимость Виагры были доказаны в более 120 завершенных и продолжающихся клинических исследованиях. К настоящему времени Виагра зарегистрирована более чем в 120 странах, имея в активе более 170 миллионов рецептов, выписанных более 23 миллионам мужчин с ЭД. Это одно из самых наиболее назначаемых лекарственных средств в мире.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При критической оценке результатов клинической эффективности Виагры было показано, что мужчины, не отвечающие на прием препарата, принимали его неправильно или в слишком малой дозе. У большинства этих пациентов Виагра была эффективна при возобновлении приема препарата и соответствующем инструктировании [3 J . При этом была подчеркнута важность выбора пациентом необходимой дозы и оптимальной сексуальной стимуляции.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Появившиеся другие ингибиторы фосфодиэстеразы 5 типа не достигли эффективности Виагры. Также было отмечено, что варденафил (левитра) нельзя использовать совместно с альфа-адреноблокаторами, широко применяемыми при лечении доброкачественной гиперплазии предстательной железы, грейпфрутовым соком. Низкая биодоступность варденафила - 15% (у Виагры - 40%) приводит к большему межлекарственному взаимодействию (противопоказано совместное применение с ингибиторами CYP 3 A 4: кетоконазолом, ритонавиром, кордароном и др.). Ни один другой ингибитор фосфодиэстеразы 5 типа не смог доказать, что он работает эффективнее или быстрее Виагры ( Levitra . ЕМЕА, 2003; Cialis . EMEA , 2003). При приеме Виагры и сексуальном возбуждении эрекция длилась почти в 5 раз дольше, чем при приеме плацебо [5], а наслаждение половым актом было сильнее в 4 раза.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Высокую оценку эффективности (92%) дали Виагре сексуальные партнерши мужчин, принимавших ее [6], а удовлетворенность действием Виагры высказали 96% пациентов с ЭД [7].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В настоящее время мы имеем опыт лечения 586 больных с различными формами ЭД (табл. 1).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Данные таблицы 1 свидетельствуют, что легкая и средняя степени тяжести ЭД были у сравнительно молодых мужчин (39-41 год), в то время как тяжелой степенью тяжести ЭД страдали мужчины более старшего возраста.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Сопоставление частоты психогенных, органических и смешанных форм ЭД свидетельствует об увеличении с возрастом частоты смешанных форм, при которых повреждается три и более уровней регуляции половой функции.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Факторы риска возникновения ЭД представлены в таблице 2. Так, среди факторов риска у больных с ЭД чаще выявляется кардиоваскулярная патология (23-30%), сахарный диабет (16-24%) и психотравмы (18-28%). Роль хронических воспалительных заболеваний в развитии ЭД незначительна (5,7-10,7%), что подтверждает описанную нами ранее клинику сексуальных расстройств у больных хроническим простатитом [8].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Таблица 1 Характеристика пациентов с ЭД</w:t>
      </w:r>
    </w:p>
    <w:tbl>
      <w:tblPr>
        <w:tblW w:w="5000" w:type="pct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321"/>
        <w:gridCol w:w="2210"/>
        <w:gridCol w:w="2210"/>
      </w:tblGrid>
      <w:tr w:rsidR="00B93674" w:rsidRPr="00435400" w:rsidTr="00444D65">
        <w:trPr>
          <w:trHeight w:val="255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Характеристика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Легкая степень ЭД, n=216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Средняя степень ЭД, n= 175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Тяжелая степень ЭД, n= 195</w:t>
            </w:r>
          </w:p>
        </w:tc>
      </w:tr>
      <w:tr w:rsidR="00B93674" w:rsidRPr="00435400" w:rsidTr="00444D65">
        <w:trPr>
          <w:trHeight w:val="30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Средний возраст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41,2+4,8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39,6№6,1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50,2№3,8</w:t>
            </w:r>
          </w:p>
        </w:tc>
      </w:tr>
      <w:tr w:rsidR="00B93674" w:rsidRPr="00435400" w:rsidTr="00444D65">
        <w:trPr>
          <w:trHeight w:val="25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Психогенная ЭД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112(51,9%)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78 (44,5%)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48 (24,6%)</w:t>
            </w:r>
          </w:p>
        </w:tc>
      </w:tr>
      <w:tr w:rsidR="00B93674" w:rsidRPr="00435400" w:rsidTr="00444D65">
        <w:trPr>
          <w:trHeight w:val="250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Органическая ЭД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45 (20,8%)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29(16,5%)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67 (34,4%)</w:t>
            </w:r>
          </w:p>
        </w:tc>
      </w:tr>
      <w:tr w:rsidR="00B93674" w:rsidRPr="00435400" w:rsidTr="00444D65">
        <w:trPr>
          <w:trHeight w:val="269"/>
        </w:trPr>
        <w:tc>
          <w:tcPr>
            <w:tcW w:w="15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Смешанная ЭД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59 (27,3%)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68 (38,9%)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80 (41,0%)</w:t>
            </w:r>
          </w:p>
        </w:tc>
      </w:tr>
    </w:tbl>
    <w:p w:rsidR="00B93674" w:rsidRDefault="00B93674" w:rsidP="00B93674">
      <w:pPr>
        <w:spacing w:before="120"/>
        <w:ind w:firstLine="567"/>
        <w:jc w:val="both"/>
      </w:pPr>
      <w:r>
        <w:t xml:space="preserve"> 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Таблица 2 Факторы риска ЭД</w:t>
      </w:r>
    </w:p>
    <w:tbl>
      <w:tblPr>
        <w:tblW w:w="5000" w:type="pct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2058"/>
        <w:gridCol w:w="1947"/>
        <w:gridCol w:w="2200"/>
      </w:tblGrid>
      <w:tr w:rsidR="00B93674" w:rsidRPr="00435400" w:rsidTr="00444D65">
        <w:trPr>
          <w:trHeight w:val="540"/>
        </w:trPr>
        <w:tc>
          <w:tcPr>
            <w:tcW w:w="1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Default="00B93674" w:rsidP="00444D65">
            <w:r w:rsidRPr="00435400">
              <w:t>Факторы риска</w:t>
            </w:r>
          </w:p>
          <w:p w:rsidR="00B93674" w:rsidRPr="00435400" w:rsidRDefault="00B93674" w:rsidP="00444D65"/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Легкая степень ЭД, n=216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Средняя степень ЭД, n= 175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Тяжелая степень ЭД, n= 195</w:t>
            </w:r>
          </w:p>
        </w:tc>
      </w:tr>
      <w:tr w:rsidR="00B93674" w:rsidRPr="00435400" w:rsidTr="00444D65">
        <w:trPr>
          <w:trHeight w:val="585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Кардиоваскулярные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51 (23,6)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52 (29,7)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60 (30,7)</w:t>
            </w:r>
          </w:p>
        </w:tc>
      </w:tr>
      <w:tr w:rsidR="00B93674" w:rsidRPr="00435400" w:rsidTr="00444D65">
        <w:trPr>
          <w:trHeight w:val="259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Сахарный диабет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36(16,6)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40 (22,8)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48 (24,6)</w:t>
            </w:r>
          </w:p>
        </w:tc>
      </w:tr>
      <w:tr w:rsidR="00B93674" w:rsidRPr="00435400" w:rsidTr="00444D65">
        <w:trPr>
          <w:trHeight w:val="250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Алкоголизм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23 (10,6)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21 (12,0)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29(14,8)</w:t>
            </w:r>
          </w:p>
        </w:tc>
      </w:tr>
      <w:tr w:rsidR="00B93674" w:rsidRPr="00435400" w:rsidTr="00444D65">
        <w:trPr>
          <w:trHeight w:val="259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Табакокурение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38(17,6)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33(18,8)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39 (20,0)</w:t>
            </w:r>
          </w:p>
        </w:tc>
      </w:tr>
      <w:tr w:rsidR="00B93674" w:rsidRPr="00435400" w:rsidTr="00444D65">
        <w:trPr>
          <w:trHeight w:val="259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Медикаментозная терапия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19(8,7)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16 (9,1)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40 (20,5)</w:t>
            </w:r>
          </w:p>
        </w:tc>
      </w:tr>
      <w:tr w:rsidR="00B93674" w:rsidRPr="00435400" w:rsidTr="00444D65">
        <w:trPr>
          <w:trHeight w:val="403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Травмы и операции на органах таза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15 (6,9)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18 (10,2)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29(14,8)</w:t>
            </w:r>
          </w:p>
        </w:tc>
      </w:tr>
      <w:tr w:rsidR="00B93674" w:rsidRPr="00435400" w:rsidTr="00444D65">
        <w:trPr>
          <w:trHeight w:val="595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Хронические воспалительные заболевания (урогенитальный фактор)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17(7,8)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10 (5,7)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21 (10,7)</w:t>
            </w:r>
          </w:p>
        </w:tc>
      </w:tr>
      <w:tr w:rsidR="00B93674" w:rsidRPr="00435400" w:rsidTr="00444D65">
        <w:trPr>
          <w:trHeight w:val="278"/>
        </w:trPr>
        <w:tc>
          <w:tcPr>
            <w:tcW w:w="18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Психотравмы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61 (28,2)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43 (24,6)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36 (18,4)</w:t>
            </w:r>
          </w:p>
        </w:tc>
      </w:tr>
    </w:tbl>
    <w:p w:rsidR="00B93674" w:rsidRDefault="00B93674" w:rsidP="00B93674">
      <w:pPr>
        <w:spacing w:before="120"/>
        <w:ind w:firstLine="567"/>
        <w:jc w:val="both"/>
      </w:pPr>
      <w:r>
        <w:t xml:space="preserve"> 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Таблица 3 Эффективность лечения в зависимости от степени ЭД</w:t>
      </w:r>
    </w:p>
    <w:tbl>
      <w:tblPr>
        <w:tblW w:w="5000" w:type="pct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6"/>
        <w:gridCol w:w="1986"/>
        <w:gridCol w:w="1988"/>
        <w:gridCol w:w="1872"/>
        <w:gridCol w:w="1986"/>
      </w:tblGrid>
      <w:tr w:rsidR="00B93674" w:rsidRPr="00435400" w:rsidTr="00444D65">
        <w:trPr>
          <w:trHeight w:val="255"/>
        </w:trPr>
        <w:tc>
          <w:tcPr>
            <w:tcW w:w="9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Default="00B93674" w:rsidP="00444D65">
            <w:r w:rsidRPr="00435400">
              <w:t>Вид ЭД</w:t>
            </w:r>
          </w:p>
          <w:p w:rsidR="00B93674" w:rsidRPr="00435400" w:rsidRDefault="00B93674" w:rsidP="00444D65"/>
        </w:tc>
        <w:tc>
          <w:tcPr>
            <w:tcW w:w="20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3й вопрос анкеты IIEF</w:t>
            </w:r>
          </w:p>
        </w:tc>
        <w:tc>
          <w:tcPr>
            <w:tcW w:w="19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 й вопрос анкеты IIEF</w:t>
            </w:r>
          </w:p>
        </w:tc>
      </w:tr>
      <w:tr w:rsidR="00B93674" w:rsidRPr="00435400" w:rsidTr="00444D65">
        <w:trPr>
          <w:trHeight w:val="300"/>
        </w:trPr>
        <w:tc>
          <w:tcPr>
            <w:tcW w:w="9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74" w:rsidRPr="00435400" w:rsidRDefault="00B93674" w:rsidP="00444D65"/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До лечения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После лечения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До лечения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 xml:space="preserve">После лечения </w:t>
            </w:r>
          </w:p>
        </w:tc>
      </w:tr>
      <w:tr w:rsidR="00B93674" w:rsidRPr="00435400" w:rsidTr="00444D65">
        <w:trPr>
          <w:trHeight w:val="915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Легкая степень, n=216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>
              <w:t xml:space="preserve"> </w:t>
            </w:r>
          </w:p>
          <w:p w:rsidR="00B93674" w:rsidRPr="00435400" w:rsidRDefault="00B93674" w:rsidP="00444D65">
            <w:r w:rsidRPr="00435400">
              <w:t>4,2№0,65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>
              <w:t xml:space="preserve"> </w:t>
            </w:r>
          </w:p>
          <w:p w:rsidR="00B93674" w:rsidRPr="00435400" w:rsidRDefault="00B93674" w:rsidP="00444D65">
            <w:r w:rsidRPr="00435400">
              <w:t>4,9№0,4 p&gt;0.05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>
              <w:t xml:space="preserve"> </w:t>
            </w:r>
          </w:p>
          <w:p w:rsidR="00B93674" w:rsidRPr="00435400" w:rsidRDefault="00B93674" w:rsidP="00444D65">
            <w:r w:rsidRPr="00435400">
              <w:t>4,3№0,7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>
              <w:t xml:space="preserve"> </w:t>
            </w:r>
          </w:p>
          <w:p w:rsidR="00B93674" w:rsidRPr="00435400" w:rsidRDefault="00B93674" w:rsidP="00444D65">
            <w:r w:rsidRPr="00435400">
              <w:t>4,4№0,6 p&gt;0, 05</w:t>
            </w:r>
          </w:p>
        </w:tc>
      </w:tr>
      <w:tr w:rsidR="00B93674" w:rsidRPr="00435400" w:rsidTr="00444D65">
        <w:trPr>
          <w:trHeight w:val="413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Средняя степень, n=175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2,9№0,41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4,8№0,36 p&lt;0.05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3,0+0,4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4,7+0,3 p&lt;0.05</w:t>
            </w:r>
          </w:p>
        </w:tc>
      </w:tr>
      <w:tr w:rsidR="00B93674" w:rsidRPr="00435400" w:rsidTr="00444D65">
        <w:trPr>
          <w:trHeight w:val="413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Тяжелая степень, n=195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1,8№0,3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4,6№0,4 p&lt;0.05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1,6№0,4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4,5№0,5 p&lt;0.05</w:t>
            </w:r>
          </w:p>
        </w:tc>
      </w:tr>
      <w:tr w:rsidR="00B93674" w:rsidRPr="00435400" w:rsidTr="00444D65">
        <w:trPr>
          <w:trHeight w:val="422"/>
        </w:trPr>
        <w:tc>
          <w:tcPr>
            <w:tcW w:w="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Всего, n=586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3,1 №0,64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4,9№0,41 p&lt;0.05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3,2+0,36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4,6№0,45 p&lt;0.05</w:t>
            </w:r>
          </w:p>
        </w:tc>
      </w:tr>
    </w:tbl>
    <w:p w:rsidR="00B93674" w:rsidRPr="00435400" w:rsidRDefault="00B93674" w:rsidP="00B93674">
      <w:pPr>
        <w:spacing w:before="120"/>
        <w:ind w:firstLine="567"/>
        <w:jc w:val="both"/>
      </w:pPr>
      <w:r>
        <w:t xml:space="preserve"> 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Таблица 4 Эффективность лечения в зависимости от вида ЭД</w:t>
      </w:r>
    </w:p>
    <w:tbl>
      <w:tblPr>
        <w:tblW w:w="5000" w:type="pct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1796"/>
        <w:gridCol w:w="1798"/>
        <w:gridCol w:w="1932"/>
        <w:gridCol w:w="1796"/>
      </w:tblGrid>
      <w:tr w:rsidR="00B93674" w:rsidRPr="00435400" w:rsidTr="00444D65">
        <w:trPr>
          <w:trHeight w:val="255"/>
        </w:trPr>
        <w:tc>
          <w:tcPr>
            <w:tcW w:w="1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Default="00B93674" w:rsidP="00444D65">
            <w:r w:rsidRPr="00435400">
              <w:t>Вид ЭД</w:t>
            </w:r>
          </w:p>
          <w:p w:rsidR="00B93674" w:rsidRPr="00435400" w:rsidRDefault="00B93674" w:rsidP="00444D65"/>
        </w:tc>
        <w:tc>
          <w:tcPr>
            <w:tcW w:w="18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3й вопрос анкеты IIEF</w:t>
            </w:r>
          </w:p>
        </w:tc>
        <w:tc>
          <w:tcPr>
            <w:tcW w:w="19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 й вопрос анкеты IIEF</w:t>
            </w:r>
          </w:p>
        </w:tc>
      </w:tr>
      <w:tr w:rsidR="00B93674" w:rsidRPr="00435400" w:rsidTr="00444D65">
        <w:trPr>
          <w:trHeight w:val="300"/>
        </w:trPr>
        <w:tc>
          <w:tcPr>
            <w:tcW w:w="1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674" w:rsidRPr="00435400" w:rsidRDefault="00B93674" w:rsidP="00444D65"/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До лечения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После лечения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До лечения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 xml:space="preserve">После лечения </w:t>
            </w:r>
          </w:p>
        </w:tc>
      </w:tr>
      <w:tr w:rsidR="00B93674" w:rsidRPr="00435400" w:rsidTr="00444D65">
        <w:trPr>
          <w:trHeight w:val="422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Психогенная, n=238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3,2+0,81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4,8№0,65 p&lt;0.05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4,5№0,31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4,8№0,6 p&gt;0.05</w:t>
            </w:r>
          </w:p>
        </w:tc>
      </w:tr>
      <w:tr w:rsidR="00B93674" w:rsidRPr="00435400" w:rsidTr="00444D65">
        <w:trPr>
          <w:trHeight w:val="403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Органическая, n=141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3,0+0,42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4,9+0,21 p&lt;0.05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2,7№0,42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4,2№0,31 p&lt;0.05</w:t>
            </w:r>
          </w:p>
        </w:tc>
      </w:tr>
      <w:tr w:rsidR="00B93674" w:rsidRPr="00435400" w:rsidTr="00444D65">
        <w:trPr>
          <w:trHeight w:val="413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Смешанная, n=207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2,8№0,60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4,8+0,3 p&lt;0.05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2,75№0,26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4,7+0,30 p&lt;0.05</w:t>
            </w:r>
          </w:p>
        </w:tc>
      </w:tr>
      <w:tr w:rsidR="00B93674" w:rsidRPr="00435400" w:rsidTr="00444D65">
        <w:trPr>
          <w:trHeight w:val="403"/>
        </w:trPr>
        <w:tc>
          <w:tcPr>
            <w:tcW w:w="12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Всего, n=586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3,1+0,64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4,9№0,41 p&lt;0.05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3,2+0,36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3674" w:rsidRPr="00435400" w:rsidRDefault="00B93674" w:rsidP="00444D65">
            <w:r w:rsidRPr="00435400">
              <w:t>4,6+0,45 p&lt;0.05</w:t>
            </w:r>
          </w:p>
        </w:tc>
      </w:tr>
    </w:tbl>
    <w:p w:rsidR="00B93674" w:rsidRPr="00435400" w:rsidRDefault="00B93674" w:rsidP="00B93674">
      <w:pPr>
        <w:spacing w:before="120"/>
        <w:ind w:firstLine="567"/>
        <w:jc w:val="both"/>
      </w:pPr>
      <w:r w:rsidRPr="00435400">
        <w:t>После всестороннего обследования пациентам назначали Виагру по 50 мг за 1 час до предполагаемого полового акта. У 509 (86,8%) больных доза 50 мг при сексуальной стимуляции приводила к выраженной эрекции полового члена, что позволило осуществить полноценный половой акт. У 36 (6,1%) пациентов доза в 50 мг не вызывала достаточной для имиссии зрекции полового члена, что вынуждало нас увеличить дозу до 100 мг. Несмотря на увеличение дозы, у 7 (1,1%) пациентов эрекции во время попытки к сексуальной близости достичь не удалось.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У 41 (6,9%) больного отмечены побочные эффекты Виагры в виде головной боли (32 человека, 5,4%), заложенности носа (36 больных, 6,1%), гиперемии лица (38 мужчин, 6,4%). Эти осложнения были незначительной выраженности и проходили через 1-2 часа после приема препарата.</w:t>
      </w:r>
    </w:p>
    <w:p w:rsidR="00B93674" w:rsidRDefault="00B93674" w:rsidP="00B93674">
      <w:pPr>
        <w:spacing w:before="120"/>
        <w:ind w:firstLine="567"/>
        <w:jc w:val="both"/>
      </w:pPr>
      <w:r w:rsidRPr="00435400">
        <w:t>Данные об эффективности Виагры на основании анкеты IIEF представлены в таблицах 3 и 4. Приведенные данные свидетельствуют о высокой эффективности Виагры у подавляющего большинства (86,8%) больных с ЭД. Препарат в нашем исследовании оказался абсолютно безопасным, редко (6,9%) давал побочные эффекты, что полностью отвечает требованиям, предъявляемым к фармакологическим препаратам, применяемым у больных с ЭД.</w:t>
      </w:r>
    </w:p>
    <w:p w:rsidR="00B93674" w:rsidRPr="00E63BE8" w:rsidRDefault="00B93674" w:rsidP="00B93674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E63BE8">
        <w:rPr>
          <w:b/>
          <w:bCs/>
          <w:sz w:val="28"/>
          <w:szCs w:val="28"/>
          <w:lang w:val="en-US"/>
        </w:rPr>
        <w:t>Список литературы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1. Torres L. Global erectile dysfunction patient attitudes and usage study. In: Presented at Pfizer symposium at 11th World Congress of the International Society for Sexual and Impotence Research. Buenos Aires, Argentina; 2004 17-21 October.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2. Glina S., et al. Relationship between erectile functioning and psychosocial functioning following treatment with Viagra (sildenafil citrate): Results from an international, multicenter, randomized, double-blind, placebo-controlled trial. In: Oral presentation at 11th World Congress of the International Society for Sexual and Impotence Research. Buenos Aires, Argentina; 2004 17-21 October.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3. McCullough A.R., Barada J.H., Fawzy, Guay A.T., Hatzichristou D. Urology 2002; 60 (Suppl. 2): 28-38.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4. Goldstein I., LueT.F., Padma-Nathan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H. et al. Oral sildenafil in the treatment of erectile dysfunction. N. Eng. J. Med. 1998; 338: 1397-1404.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5. Gingell </w:t>
      </w:r>
      <w:r w:rsidRPr="00435400">
        <w:t>С</w:t>
      </w:r>
      <w:r w:rsidRPr="00435400">
        <w:rPr>
          <w:lang w:val="en-US"/>
        </w:rPr>
        <w:t xml:space="preserve"> , Sultana S.R., Hodgson G., Wulff M.B., Gepi-Attee S. Duration of Action Sildenafil Citrate in Men With Erectile Function in press.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6. Gil A., Oyaguez I., Palacios G., Rejas I. Erectile dysfunction in a primary care setting results of an observational, non-control-group, prospective study with sildenafil under routine conditions of use. Int. J. Import. Res. 2001; 13: 338-347.</w:t>
      </w:r>
    </w:p>
    <w:p w:rsidR="00B93674" w:rsidRPr="00435400" w:rsidRDefault="00B93674" w:rsidP="00B93674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7. McMurray J.G., et al. Int. J. Impotence Res. 2002; 14 (suppl. 3): 104.</w:t>
      </w:r>
    </w:p>
    <w:p w:rsidR="00B93674" w:rsidRPr="00435400" w:rsidRDefault="00B93674" w:rsidP="00B93674">
      <w:pPr>
        <w:spacing w:before="120"/>
        <w:ind w:firstLine="567"/>
        <w:jc w:val="both"/>
      </w:pPr>
      <w:r w:rsidRPr="00435400">
        <w:t>8. Горпинченко И.И. Особенности половых функций и сексуальных расстройств у мужчин среднего и пожилого возраста: Автореф. дис. ... д-ра мед. наук. К; 1986.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674"/>
    <w:rsid w:val="00095BA6"/>
    <w:rsid w:val="001E144C"/>
    <w:rsid w:val="0031418A"/>
    <w:rsid w:val="00435400"/>
    <w:rsid w:val="00444D65"/>
    <w:rsid w:val="005A2562"/>
    <w:rsid w:val="00827142"/>
    <w:rsid w:val="00A44D32"/>
    <w:rsid w:val="00B93674"/>
    <w:rsid w:val="00E12572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AE38B1-0B7F-4B0C-80A4-93112652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3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7346</Characters>
  <Application>Microsoft Office Word</Application>
  <DocSecurity>0</DocSecurity>
  <Lines>61</Lines>
  <Paragraphs>17</Paragraphs>
  <ScaleCrop>false</ScaleCrop>
  <Company>Home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Виагра - лучшие эрекции для лучшего секса</dc:title>
  <dc:subject/>
  <dc:creator>Alena</dc:creator>
  <cp:keywords/>
  <dc:description/>
  <cp:lastModifiedBy>admin</cp:lastModifiedBy>
  <cp:revision>2</cp:revision>
  <dcterms:created xsi:type="dcterms:W3CDTF">2014-02-18T05:15:00Z</dcterms:created>
  <dcterms:modified xsi:type="dcterms:W3CDTF">2014-02-18T05:15:00Z</dcterms:modified>
</cp:coreProperties>
</file>