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09" w:rsidRPr="00F22E4A" w:rsidRDefault="005D7509" w:rsidP="005D7509">
      <w:pPr>
        <w:spacing w:before="120"/>
        <w:jc w:val="center"/>
        <w:rPr>
          <w:b/>
          <w:bCs/>
          <w:sz w:val="32"/>
          <w:szCs w:val="32"/>
        </w:rPr>
      </w:pPr>
      <w:r w:rsidRPr="00F22E4A">
        <w:rPr>
          <w:b/>
          <w:bCs/>
          <w:sz w:val="32"/>
          <w:szCs w:val="32"/>
        </w:rPr>
        <w:t>Власть как концепт и категория дискурса</w:t>
      </w:r>
    </w:p>
    <w:p w:rsidR="005D7509" w:rsidRPr="00F22E4A" w:rsidRDefault="005D7509" w:rsidP="005D7509">
      <w:pPr>
        <w:spacing w:before="120"/>
        <w:jc w:val="center"/>
        <w:rPr>
          <w:sz w:val="28"/>
          <w:szCs w:val="28"/>
        </w:rPr>
      </w:pPr>
      <w:r w:rsidRPr="00F22E4A">
        <w:rPr>
          <w:sz w:val="28"/>
          <w:szCs w:val="28"/>
        </w:rPr>
        <w:t xml:space="preserve">Шейгал Е.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Проблема соотношения языка и власти имеет два аспекта: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1) то, как власть осмысляется, концептуализируется языком (власть как концепт);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2) то, как власть проявляется в языке / через язык (власть как дискурсивная категория).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Концепт как ментальная репрезентация культурно-значимого феномена в массовом сознании фиксируется в лексикографических толкованиях имени концепта (содержательный минимум концепта), в его синонимических связях, образных переосмыслениях, ассоциативных реакциях, сочетаемости, паремиологии и неклишированных текстах и высказываниях. По данным «Словаря индоевропейских социальных терминов» Э. Бенвениста, семантика некоторых ключевых слов, связанных с понятием «власть» в индоевропейских языках, формировалась на базе следующих генетически исходных смыслов: «праведность», «магическая сущность власти», «сила», «превосходство», говорение» [ Бенвенист 1995 ] . Смысловая ассоциация «власть – говорение» представляет особый интерес для нашего исследования, поскольку одним из наиболее ярких дискурсивных проявлений власти, как будет показано ниже, является монополия на информацию и право на речь.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Анализ понятийного ядра концепта «Власть» по толковым и терминологическим словарям выявил такие его базовые составляющие, как «господство (доминирование), право, контроль (способность контролировать), сила, влияние, принуждение, авторитет». Мы полагаем, что, все эти компоненты концепта обладают коммуникативной значимостью и составляют суть власти как дискурсивной категории.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Власть в дискурсе может выступать в различных ипостасях: как содержательная, когнитивная, социолингвистическая, риторическая и прагматическая категория. Власть как содержательная категория составляет предмет общения, тему разговора и в этом плане данная категория выступает как проявление языковой концептуализации власти. Концепт «власть» как объект рефлексии оказывается весьма значимым для политического дискурса. Власть, как в абстрактном смысле, так и в значении «конкретные представители власти» нередко выступает в качестве объекта осмысления, интерпретации и критики. Высказывания о власти, принадлежащие современным российским политикам и политологам, сводятся, в основном к двум группам: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а) Высказывания формульного типа ( Власть – это …), в которых делается попытка нетрадиционного подхода к раскрытию содержание понятия «власть».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Мое отношение к власти определяется двумя ключевыми словами. Слово №1 – ответственность... И второе: для меня власть – инструмент, которым обязан уметь пользоваться человек, деятельность которого связана с использованием власти для достижения цели (А. Чубайс).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Кстати, существует формула эффективной власти, сочиненная одним из, прошу прощения за грубое слово, реформаторов. Причем еще до старта реформ. Звучит она так: «Свободный рынок плюс сильная полиция» (А. Колесников).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б) Критические высказывания, в которых выражается недовольство властью и имплицитно содержится представление о том, какой должна быть хорошая власть: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Твердо убежден, что власть, особенно исполнительная, оторвалась от народа. Во властные структуры проникло много нечестных и нечистоплотных людей, ставящих личные интересы выше интересов государства. Власть оказалась бесконтрольной и безотчетной перед народом (В. Илюхин).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Нужна сильная власть! Настоящая власть. Жесткая исполнительная вертикаль во главе с президентом (В. Жириновский).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Верхам настолько наплевать на низы, верхи настолько ничего не хотят, что низы «не хотят» с удвоенной энергией. Равнодушие власти превратило «дорогих россиян» в самый равнодушный к этой власти народ в мире. Власть проносится мимо «селян» по Рублево-Успенскому шоссе на большой скорости, сверкая мигалками и поражая зрение размерами кортежа. Иногда ее замечают в правительственной ложе на значимых футбольных матчах. Это способ единения с народом, правда, единения ложного (А. Колесников).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Кто-то из умных людей недавно сказал с телеэкрана: они там, наверху всех нас считают за идиотов. Это властная болезнь, давняя как мир. Еще Мао исходил из конфуцианского представления о власти-ветре и народе-траве. ТВ с самого рождения у нас стало этаким мощным вентилятором, которым власть старается нас пригнуть как надо (В. Кичин).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Приведенные высказывания позволяют суммировать представления политиков о своеобразном «кодексе чести» для представителей власти: власть не должна отрываться от народа, должна уважать народ и жить его интересами, быть честной, чистоплотной, не продажной, подконтрольной народу, иметь прочные нравственные устои, быть сильной, дееспособной, ответственной, уметь гибко реагировать на изменение политической ситуации. Власть не должна быть равнодушной к проблемам народа, не должна пренебрегать народом и относиться к нему снисходительно, не должна демонстративно пользоваться привилегиями, не должна воровать и жировать на народные деньги.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Власть как когнитивная категория представляет собой то, что иначе формулируется как «власть языка» – способность языка навязывать мировидение, создавать языковую интерпретацию картины мира («кто называет вещи, тот овладевает ими»). Д. Болинджер, анализируя язык политической лжи, отмечает особую роль номинаций в создании нужной для определенной стороны картины мира, иллюстрируя ее примерами политических эвфемизмов: «...бомбардировки становятся «защитной реакцией», особо точные бомбардировки – «хирургическими ударами», разбомбленный дом автоматически становится «военным объектом», а ничего из себя не представляющая джонка, затонувшая в порту, – «морским транспортом» [Bolinger 1980: 36].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Уже сам факт наименования вещи или явления является одновременно фактом классификации (категоризации, отнесения к категории), а власть, скрытая в языке, как считает Р. Барт, связана прежде всего с тем, что «язык – это средство классификации и что всякая классификация есть способ подавления: латинское слово ordo имеет два значения – «порядок» и «угроза». [Барт 1994: 548 ]. Навешивание ярлыков, активное вмешательство в процесс именования, столь характерное для политиков «во власти», является попыткой воздействовать на существующую в сознании электората картину мира политики, на его когнитивную базу в области политической коммуникации. «Язык активно используется властью как средство ограничивающего (рестриктивного) воздействия. Он может восприниматься властью как самостоятельный рестриктивный механизм, требующий постоянного вмешательства и контроля. Это, в частности, реализуется в именовании, в отстаивании определенных названий, переименовании, творении новых имен и т.д.» [ Апресян 1997: 135] . Говоря о классификации как средстве контроля при помощи языка над тем, как общество воспринимает действительность, Г. Кресс и Р. Ходж отмечают, что подобные классификации, как правило, имеют групповую основу, отражая социальную дифференциацию общества: «Общность языка всегда выступала как мощное средство групповой солидарности» [Hodge, Kress,1979: 64].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При сознательном использовании языка как инструмента, позволяющего воздействовать на существующую в сознании социума картину мира, власть выступает как риторическая категория , связанная со стратегиями фасцинативности, манипуляции и пр. Язык в данном случае сознательно используется как средство воздействия для достижения определенного перлокутивного эффекта; это особенно ярко проявляется в таких сферах коммуникации, как реклама, пропаганда и т.п. Данный аспект дискурсивного проявления власти изучается теорией речевого воздействия.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Власть как социолингвистическая категория тесно связана с категорией социального статуса и выступает как проявление в общении социальной власти участника коммуникации с более высоким социальным статусом. Так, в частности, в речевых особенностях образованных людей, профессионалов (юристы, врачи, профессора и т.п.) проявляется механизм оказания социального давления и осуществления власти. Характерной чертой данного механизма является интенсивное использование профессиональной терминологии и жаргона в общении с непосвященными, обращение к усложненным синтаксическим структурам затемняющим понимание. Получаемое вследствие этого коммуникативное преимущество позволяет, по мнению Р. Фаулера, поддерживать «властный дифференциал» между разными социальными группами (например, юрист и рабочий) [Fowler 1985].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Власть как прагматическая категория связана с интенциональным аспектом общения в институциональных типах дискурса. Власть выступает как базовая интенция политического дискурса, как его интенциональная основа, предопределяющая его основные функции: интеграция и дифференциация групповых агентов политики, развитие конфликта и установление консенсуса, осуществление вербальных политических действий и информирование о них, создание «языковой реальности» поля политики и ее интерпретация, манипуляция сознанием и контроль за действиями политиков и электората.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Борьба за власть как цель политики определяет содержание политической коммуникации, которое можно свести к трем основным составляющим: формулировка и разъяснение политической позиции (ориентация), поиск и сплочение сторонников (интеграция), борьба с противником (агональность). Отсюда следует, что основным организующим принципом семиотического пространства политического дискурса, его семиотической моделью является базовая семиотическая триада «интеграция – ориентация – агональность». Соответственно, в семиотическом пространстве политического дискурса разграничиваются три типа знаков: знаки ориентации, интеграции и агональности.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В каждом из трех функциональных типов знаков имеются специализированные и транспонированные единицы. Специализированными знаками ориентации являются наименования политических институтов и институциональных ролей, имена политиков и т.д., специализированными знаками интеграции – государственные символы и эмблемы, выражающие групповую идентичность, лексемы единения и совместности, специализированными знаками агрессии – маркеры «чуждости». Границы между тремя функциональными типами знаков не являются жестко фиксированными. Эволюция прагматики знаков делает возможным семиотическое преобразование одного типа в другой. Основным направлением этой эволюции является движение от информатики к фатике, т. е. превращение знаков ориентации либо в знаки интеграции (приобретение идеологической коннотации «свои» и положительной эмотивности), либо в знаки агрессии (приобретение идеологической коннотации «чужие» и отрицательной эмотивности).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Базовая семиотическая триада политического дискурса находит выражение в специфических речевых актах этого дискурса: в частности, функциональной направленностью здравиц является интеграция, лозунговых ассертивов – ориентация, волитивов изгнания – агональность (агрессия).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Относительно базовой семиотической триады структурируется и жанровое пространство политического дискурса. По характеру ведущей интенции разграничиваются: а) ритуальные жанры (инаугурационная речь, юбилейная речь, традиционное радиообращение), в которых доминирует фатика интеграции; б) ориентационные жанры, представляющие собой тексты информационно-прескриптивного характера (партийная программа, манифест, конституция, послание президента о положении в стране, отчетный доклад, указ, соглашение); в) агональные жанры (лозунг, рекламная речь, предвыборные дебаты, парламентские дебаты).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Поскольку всякая власть создает свою речевую практику, играет в свою «языковую игру» (термин Л. Витгенштейна), то для изучения политического дискурса актуальным является анализ «языка власти» или «дискурса власти».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О языке власти можно говорить в рамках противопоставления «политическая элита – народ», или «политики у власти – политики в оппозиции». Именно противопоставление дискурсов групповых субъектов политического дискурса позволяет вывить базу знаний и базу целей, лежащих в основе создаваемых ими парадигмы текстов, образующих их дискурс. Так, в работе Э. Лассан выявляются следующие параметры противопоставления языковой личности дискурса власти и дискурса советского инакомыслия 1960-х гг.: прагматикон, тезаурус и грамматикон. Прагматикон языковой личности дискурса власти представлен такими ценностными оппозициями понятий, как коммунизм « антикоммунизм, патриотизм « антипатриотизм, коллективизм « индивидуализм и т.п.; ее тезаурус представлен концептуальными метафорами типа мир – фронт борьбы между коммунизмом и антикоммунизмом, Родина – мать, коллективизм – норма жизни и пр. Прагматикон языковой личности дискурса инакомыслия включает в себя такие ценностные оппозиции, как истинный патриотизм « ложный патриотизм, законность « беззаконие, гуманизм « антигуманность и т.п.; ее тезаурус представлен концептуальными метафорами: Родина – близкий человек, который может болеть, гуманизм – это милость к падшим, и т.п. В итоге выявляется когнитивный конфликт в вопросе трактовки таких понятий, как патриотизм, законность и гуманизм, составляющий суть полемики – диалога дискурсов власти и оппозиции [Лассан 1995] 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Существуют разные точки зрения на проблему соотношения языка власти и власти языка.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С одной стороны, права Р. Водак, утверждая, что «язык обретает власть только тогда, когда им пользуются люди, обладающие властью; сам по себе язык не имеет власти» [ Водак 1997: 19 ] . Но, с другой стороны и сам язык предоставляет говорящим целый арсенал средств проявления и осуществления власти. Каждый из аспектов дискурсивной власти имеет свои способы и средства реализации: это могут быть те или иные языковые единицы, стилистические средства, речевые акты, коммуникативные ходы, речевые жанры.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Как показал анализ соответствующего концепта, феномен власти самым тесным образом связан с принуждением. Власть определяется как возможность навязывания своей воли другим, вопреки сопротивлению, как право коллективного агента накладывать обязательства и принуждать к действиям. В коммуникативном плане власть проявляется в способности заставить других принять выгодную для говорящего интерпретацию действительности, т. е. в принуждении к точке зрения.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Дискурсивное выражение власти рассматривается как часть общецивилизационного процесса: эволюция стратегии власти заключается в том, что власть начинает опираться не столько на телесное принуждение и наказание, сколько на легитимацию силы в форме права, на управление человеческим поведением посредством слова [ Марков 1993 ] . Перевод властных отношений в дискурсивную форму означает, что сила проявляет себя в праве говорить и в праве лишать этой возможности других. Лишение слова является одним из проявлений речевой агрессии, которая, как известно, является сублимацией агрессии физической [ Лоренц 1990 ] . М. Фуко к числу наиболее распространенных средств контроля над дискурсом относит процедуры исключения, самой очевидной из которых является запрет («говорить можно не все, говорить можно не обо всем и не при любых обстоятельствах, и, наконец, не всякому можно говорить о чем угодно») [ Фуко 1996 : 51 ].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Дж. Дайамонд рассматривает власть как понятие одновременно политическое и риторическое: эффективность власти проявляется в способности индивида одержать верх в споре, переключить разговор на новую тему, вести дискуссию, осуществлять реформы, изменять существующие структуры, побеждать на выборах и т. д. [Diamond 1996: 13].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Власть в дискурсе выражается в том, что обладающие властным статусом коммуниканты контролируют и ограничивают коммуникативный вклад нижестоящего участника (не обладающего властью). Существуют три типа ограничений: 1) ограничения на содержание коммуникации; 2) ограничения на типы социальных отношений, в которые могут вступать участники коммуникации; 3) ограничения на позиции субъекта коммуникации. [Fairclough 1989]. Так, в частности, в институциональных видах дискурса существуют определенные жанры, доступные только для «профессионалов», субъектом которых не может быть «клиент»: проповедь для священника, лекция для преподавателя, приговор для судьи и т. д. Таковым является большинство первичных жанров политического дискурса (публичная речь политика, парламентские дебаты, партийная программа, все жанры президентской риторики и др.).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Говоря о языке как инструменте социальной власти, Р. Блакар имеет в виду присущую языку способность к структурированию и воздействию (выбор выражений, осуществляемый отправителем сообщения, воздействует на понимание получателя). Он выделяет шесть «инструментов власти», имеющихся в распоряжении отправителя: 1) выбор слов и выражений; 2) создание (новых) слов и выражений; 3) выбор грамматической формы; 4) выбор последовательности; 5) использование суперсегментных признаков; 6) выбор имплицитных предпосылок.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Р. Блакар подчеркивает, что люди с разными позициями власти имеют разные возможности по овладению более продвинутыми лингвистическими механизмами, и тот, кому принадлежит наибольшая власть, может в любой момент решить, какой лингвистический механизм наиболее полезен, следовательно, тот, кто обладает властью (положением), в значительной степени определяет употребление и значение слов и выражений (инструментов власти) [ Блакар 1987 ] 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Если Р. Блакар к инструментам языковой власти относит операции с конкретными языковыми единицами разных уровней, то Р Барт, говоря о трех типах дискурсивного оружия, имеет в виду общериторические качества речи: 1) демонстрация аргументов, приемов защиты и нападения; 2) исключение соперника из диалога сильных, монологизация дискурса; 3) структурная завершенность, четкость, императивность речи [ Барт 1994: 538 ].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Д. Таннен связывает понятие власти в дискурсе с контролем. Она полагает, однако, что неверно приписывать власть исключительно одному источнику ( т.е. представлять дело так, что у одного власть есть, а у другого – нет), что существуют разнообразные виды власти и влияния, которые связаны с исполнением людьми различных ролей, и это разные виды власти, которые проявляются по-разному. С одной стороны, как проявление власти можно рассматривать контроль над темой разговора, но с другой – поддержка топика, предложенного собеседником, может быть интерпретирована как проявление власти «внимательно слушающего собеседника» (attention-giver)” [ Tannen 1987 ].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Аналогично прерывание собеседника может рассматриваться как проявление власти, но, с другой стороны, прерывание может быть использовано как последняя отчаянная попытка привлечь к себе внимание – и в этом случае прерывание является манифестацией статусной слабости (например, дети нередко пытаются привлечь внимание родителей, занятых серьезным разговором, пытаясь прервать его).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Рассуждая об элементах власти с позиций этологии, Э. Канетти выделяет ряд коммуникативных действий, в которых проявляется власть. К их числу относятся некоторые речевые акты (вопрос, приказ, осуждение) и некоторые формы манипуляций с информацией (молчание, сохранение тайны). В негативном суждении проявляется власть судьи, в вопросе – власть дознавателя; приказ является сублимацией биологического приказа к бегству под угрозой смерти или добровольного рабства зависимого существа, получающего пищу из рук «хозяина» [Канетти 1999].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Поскольку «всякий вопрос есть вторжение»; «применяемый как средство власти, он врезается как нож в тело того, кому задан» [Канетти 1999: 124]) , то свобода личности в значительной мере состоит в защищенности от вопросов, в умении ответить вопросом на вопрос.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Молчание предполагает точное знание того, что умалчивается, поэтому власть выступает, в том числе, и как монополия на информацию. Э. Канетти верно подчеркивает значимость момента выбора как способа проявления власти: «Поскольку невозможно молчать всегда, приходится делать выбор между тем, что можно сказать, и тем, о чем следует умолчать» [Канетти 1999: 135] . Действительно, лишь обладающий властью имеет право делать выбор, в том числе выбор из нескольких коммуникативных возможностей.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Монополия на информацию, обладание знанием, недоступным для других, изначально, с самых древних человеческих сообществ, составляло привилегию властителей – жрецов, колдунов, шаманов, врачевателей. Некий налет таинственности всегда идет на пользу власти. «Тайна лежит в сокровеннейшем ядре власти. &lt;...&gt; К сфере власти относится неравное распределение просматриваемости. Властвующий должен видеть все насквозь, но не позволять смотреть в себя. Сам он остается закрытым. Его настроения и намерения никому не дано знать» [Канетти 1999: 133 ] 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Поскольку язык политики – это язык власти (и следовательно – язык посвященных) и, в то же время – специальный язык для профессиональных целей, то естественно задать вопрос: в какой степени языку политики присуща такая характеристика специальных языков, как тайноречие или эзотеричность?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Р. Водак отмечает, что политический язык находится как бы между двумя полюсами – функционально обусловленным специальным языком и жаргоном определенной группы со свойственной ей идеологией. Поэтому политический язык «должен выполнять противоречивые функции: быть доступным для понимания (в соответствии с задачами пропаганды) и ориентированным на определенную группу (по историческим и социальным причинам). Последнее часто противоречит доступности политического языка» [ Водак 1997: 24 ] 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Корпоративная функция, присущая любому специальному подъязыку и жаргону, реализуется во многом благодаря тому, что специальный язык обычно непонятен для непосвященных, так как предназначен «для внутреннего употребления», для объединения «своих» и исключения «чужаков». Однако, поскольку специфику функционирования языка политики составляет массовость аудитории, и с политической терминологией каждый из нас сталкивается практически ежедневно, то неизбежно происходит деспециализация политических терминов. В результате этот специальный язык оказывается лишен свойства тайноречия. (Достаточно вспомнить, как быстро в повседневный язык жителей России вошли «таинственные» слова ваучер, консенсус, импичмент ). Тем не менее, этот «недостаток» компенсируется за счет такого свойства политического языка, как его расплывчатость, смысловая неопределенность.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Таким образом, неопределенность выступает в качестве специфического для политического (профессионального) подъязыка проявления эзотеричности. Политики, как никто другой, умеют уходить от прямого ответа на вопрос, умеют сказать много и при этом не сказать ничего. Специфика тайноречия в политическом дискурсе заключается не в языке политики как таковом, большинство знаков которого является широко известными, общедоступными для понимания, а в самом характере общения. Другими словами, эзотеричность политического дискурса – не семантическая, а прагматическая характеристика.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Ю.В. Рождественский, анализируя риторические особенности текстов информатики, выделяет свойство криптографичности, заключающееся в том, что «система не должна давать абоненту ту информацию, которой он не вправе располагать» [ Рождественский 1997: 594 ] . Для политического дискурса этот принцип верен лишь в области государственной тайны, а в остальном его можно переформулировать следующим образом: властные структуры в своих интересах (в целях политического самосохранения) ограничивают «клиенту» доступ к информации, которой он вправе располагать. Итак, еще раз подчеркнем. что право на монопольное обладание информации – это одно из дискурсивных проявлений власти.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В заключение рассмотрим понятие коммуникативного лидерства, с которым, на наш взгляд, непосредственно связан а власть в дискурсе.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В.В. Богданов раскрывает понятие коммуникативного лидерства через три типа доминаций, повышающих коммуникативный статус говорящего – энциклопедическая, лингвистическая и интерактивная доминация: «Коммуникативный лидер – это человек, который обладает нетривиальной информацией с точки зрения данной ситуации общения, умеет выразить эту информацию в наилучшей форме и довести ее до сведения адресата посредством оптимального языкового контакта» [ Богданов 1990: 30 ] . Более высокий социально-административный статус коммуниканта имеет тенденцию вызывать повышение и его коммуникативного статуса, но из этого вовсе не следует, что лицо, занимающее более высокое административное положение в обществе, непременно обладает и более высокой энциклопедической, лингвистической и интерактивной компетенцией.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В идеале социально-административное и коммуникативное лидерство должны совпадать, т.е. хороший политик, безусловно, должен быть коммуникативным лидером. Энциклопедическая компетенция политика проявляется в глубоком знании и понимании текущей политической ситуации, предшествующих процессов и исторического фона, а также в способности дать адекватное вербальное описание данной предметной области. Кроме того, понятие энциклопедической компетенции политика подразумевает и высокой общекультурный уровень, который в речи проявляется в апелляциях к прецедентным текстам данной культуры.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Лингвистическая компетенция политика заключается в использовании престижной формы языка (т.е. в полном владении литературной нормой), во владении паремиологическим фондом и образными средствами языка и умении их адекватно использовать.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Интерактивная компетенция политика состоит в соблюдении постулатов общения (с учетом их специфики в политическом дискурсе), а также во владении приемами фасцинации, которые позволяют установить оптимальный контакт с аудиторией.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Связь феномена коммуникативного лидерства с высоким статусом в социальной иерархии (социальным лидерством, властью) уходит корнями в генезис языка. На изначально «командную» роль слова указывают этологи и психологи. Сигналы лидеров примитивных групп обладали особой значимостью для особей низшего ранга. «Интересный в этой связи факт приводит Ф. Фолсом: даже в наши дни народы, которые живут охотой – таких, правда, на свете осталось совсем не много, – часто называют главу семьи просто «говорящий» [ Якушин 1984 ] 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Слово первоначально было командой для других (первые протовысказывания, предположительно, были императивами). Первобытный лидер воспринимается как источник авторитетного Слова, значимого для выживания группы. Не удивительно, что слово лидера и в современном обществе обладает особым авторитетом и служит мощным инструментом социальной власти. </w:t>
      </w:r>
    </w:p>
    <w:p w:rsidR="005D7509" w:rsidRPr="00771A18" w:rsidRDefault="005D7509" w:rsidP="005D7509">
      <w:pPr>
        <w:spacing w:before="120"/>
        <w:jc w:val="center"/>
        <w:rPr>
          <w:b/>
          <w:bCs/>
          <w:sz w:val="28"/>
          <w:szCs w:val="28"/>
        </w:rPr>
      </w:pPr>
      <w:r w:rsidRPr="00771A18">
        <w:rPr>
          <w:b/>
          <w:bCs/>
          <w:sz w:val="28"/>
          <w:szCs w:val="28"/>
        </w:rPr>
        <w:t>Список литературы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Апресян Р.Г. Сила и насилие слова // Человек. 1997. № 5. С. 133–137.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Барт Р. Избранные работы: Семиотика. Поэтика. М.: Прогресс, 1994. 616 с.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Бенвенист Э. Словарь индоевропейских социальных терминов: Пер. с фр. М.: Прогресс–Универс, 1995. 456 с.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Блакар Р.М. Язык как инструмент социальной власти // Язык и моделирование социального взаимодействия. М.: Прогресс, 1987. С. 88–120.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Богданов В.В. Коммуникативная компетенция и коммуникативное лидерство // Язык, дискурс и личность. Тверь: Изд-во Твер. ун-та, 1990. С. 26–31.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Водак Р . Язык. Дискурс. Политика / Пер. с англ. и нем. Волгоград: Перемена, 1997. 139с.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Канетти Э. Элементы власти // Психология и психоанализ власти. Т.1. Хрестоматия. – Самара: Изд. Дом. «Бахрах», 1999. С.120-168.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Лассан Э. Дискурс власти и инакомыслия в СССР: когнитивно-риторический анализ. Вильнюс: Изд-во Вильнюс. ун-та, 1995. 232 с.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Лоренц К. Агрессия (так называемое «зло»). М.: Прогресс, Универс, 1994. 272 с.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Марков Б.В. Философия и аргументация // Речевое общение и аргументация. Вып. 1. СПб.: Экополис и культура, 1993. С. 76–85.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Рождественский Ю.В. Теория риторики. М.: Добросвет, 1997. 600 с. </w:t>
      </w:r>
    </w:p>
    <w:p w:rsidR="005D7509" w:rsidRPr="00F22E4A" w:rsidRDefault="005D7509" w:rsidP="005D7509">
      <w:pPr>
        <w:spacing w:before="120"/>
        <w:ind w:firstLine="567"/>
        <w:jc w:val="both"/>
      </w:pPr>
      <w:r w:rsidRPr="00F22E4A">
        <w:t xml:space="preserve">Фуко М. Воля к истине: по сторону знания, власти и сексуальности. Работы разных лет / Пер. с франц. М.: Касталь,1996. 448 с. </w:t>
      </w:r>
    </w:p>
    <w:p w:rsidR="005D7509" w:rsidRPr="00F22E4A" w:rsidRDefault="005D7509" w:rsidP="005D7509">
      <w:pPr>
        <w:spacing w:before="120"/>
        <w:ind w:firstLine="567"/>
        <w:jc w:val="both"/>
        <w:rPr>
          <w:lang w:val="en-US"/>
        </w:rPr>
      </w:pPr>
      <w:r w:rsidRPr="00F22E4A">
        <w:t>Якушин Б.В. Гипотезы о происхождении языка. М</w:t>
      </w:r>
      <w:r w:rsidRPr="00F22E4A">
        <w:rPr>
          <w:lang w:val="en-US"/>
        </w:rPr>
        <w:t xml:space="preserve">.: </w:t>
      </w:r>
      <w:r w:rsidRPr="00F22E4A">
        <w:t>Наука</w:t>
      </w:r>
      <w:r w:rsidRPr="00F22E4A">
        <w:rPr>
          <w:lang w:val="en-US"/>
        </w:rPr>
        <w:t xml:space="preserve">, 1984. 136 </w:t>
      </w:r>
      <w:r w:rsidRPr="00F22E4A">
        <w:t>с</w:t>
      </w:r>
      <w:r w:rsidRPr="00F22E4A">
        <w:rPr>
          <w:lang w:val="en-US"/>
        </w:rPr>
        <w:t xml:space="preserve">. </w:t>
      </w:r>
    </w:p>
    <w:p w:rsidR="005D7509" w:rsidRPr="00F22E4A" w:rsidRDefault="005D7509" w:rsidP="005D7509">
      <w:pPr>
        <w:spacing w:before="120"/>
        <w:ind w:firstLine="567"/>
        <w:jc w:val="both"/>
        <w:rPr>
          <w:lang w:val="en-US"/>
        </w:rPr>
      </w:pPr>
      <w:r w:rsidRPr="00F22E4A">
        <w:rPr>
          <w:lang w:val="en-US"/>
        </w:rPr>
        <w:t xml:space="preserve">Bolinger D. Language – the Loaded Weapon: the Use and Abuse of Language Today. – London and New York: Longman, 1980. – 214 p. </w:t>
      </w:r>
    </w:p>
    <w:p w:rsidR="005D7509" w:rsidRPr="00F22E4A" w:rsidRDefault="005D7509" w:rsidP="005D7509">
      <w:pPr>
        <w:spacing w:before="120"/>
        <w:ind w:firstLine="567"/>
        <w:jc w:val="both"/>
        <w:rPr>
          <w:lang w:val="en-US"/>
        </w:rPr>
      </w:pPr>
      <w:r w:rsidRPr="00F22E4A">
        <w:rPr>
          <w:lang w:val="en-US"/>
        </w:rPr>
        <w:t xml:space="preserve">Diamond J. Status and Power in Verbal Interaction: a Study of Discourse in a Close-knit Social Network. – Amsterdam/Philadelphia: John Benjamins Publ. Co., 1996. – 178 p. </w:t>
      </w:r>
    </w:p>
    <w:p w:rsidR="005D7509" w:rsidRPr="00F22E4A" w:rsidRDefault="005D7509" w:rsidP="005D7509">
      <w:pPr>
        <w:spacing w:before="120"/>
        <w:ind w:firstLine="567"/>
        <w:jc w:val="both"/>
        <w:rPr>
          <w:lang w:val="en-US"/>
        </w:rPr>
      </w:pPr>
      <w:r w:rsidRPr="00F22E4A">
        <w:rPr>
          <w:lang w:val="en-US"/>
        </w:rPr>
        <w:t xml:space="preserve">Fairclough N. Language and Power. – London: Longman, 1989. - 259 p. </w:t>
      </w:r>
    </w:p>
    <w:p w:rsidR="005D7509" w:rsidRPr="00F22E4A" w:rsidRDefault="005D7509" w:rsidP="005D7509">
      <w:pPr>
        <w:spacing w:before="120"/>
        <w:ind w:firstLine="567"/>
        <w:jc w:val="both"/>
        <w:rPr>
          <w:lang w:val="en-US"/>
        </w:rPr>
      </w:pPr>
      <w:r w:rsidRPr="00F22E4A">
        <w:rPr>
          <w:lang w:val="en-US"/>
        </w:rPr>
        <w:t xml:space="preserve">Fowler Language as social practice // Handbook of Discourse Analysis. Vol.4. London, 1985. P.61–83. </w:t>
      </w:r>
    </w:p>
    <w:p w:rsidR="005D7509" w:rsidRPr="00F22E4A" w:rsidRDefault="005D7509" w:rsidP="005D7509">
      <w:pPr>
        <w:spacing w:before="120"/>
        <w:ind w:firstLine="567"/>
        <w:jc w:val="both"/>
        <w:rPr>
          <w:lang w:val="en-US"/>
        </w:rPr>
      </w:pPr>
      <w:r w:rsidRPr="00F22E4A">
        <w:rPr>
          <w:lang w:val="en-US"/>
        </w:rPr>
        <w:t xml:space="preserve">Hodge R., Kress G. Language as Ideology. – New York: Routledge, 1993. – 230 p. </w:t>
      </w:r>
    </w:p>
    <w:p w:rsidR="005D7509" w:rsidRPr="00F22E4A" w:rsidRDefault="005D7509" w:rsidP="005D7509">
      <w:pPr>
        <w:spacing w:before="120"/>
        <w:ind w:firstLine="567"/>
        <w:jc w:val="both"/>
        <w:rPr>
          <w:lang w:val="en-US"/>
        </w:rPr>
      </w:pPr>
      <w:r w:rsidRPr="00F22E4A">
        <w:rPr>
          <w:lang w:val="en-US"/>
        </w:rPr>
        <w:t>Tannen D. Remarks on Discourse and Power // Power Through Discourse. – Norwood, N. J.: Ablex Publishing Corporation, 1987. – P. 3–10.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509"/>
    <w:rsid w:val="00051FB8"/>
    <w:rsid w:val="00095BA6"/>
    <w:rsid w:val="00210DB3"/>
    <w:rsid w:val="0031418A"/>
    <w:rsid w:val="00350B15"/>
    <w:rsid w:val="00377A3D"/>
    <w:rsid w:val="0052086C"/>
    <w:rsid w:val="005A2562"/>
    <w:rsid w:val="005D7509"/>
    <w:rsid w:val="005F180F"/>
    <w:rsid w:val="00755964"/>
    <w:rsid w:val="00771A18"/>
    <w:rsid w:val="008C19D7"/>
    <w:rsid w:val="008F6B6F"/>
    <w:rsid w:val="00A44D32"/>
    <w:rsid w:val="00E12572"/>
    <w:rsid w:val="00E34609"/>
    <w:rsid w:val="00F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BDAE97-460B-4DDC-9511-E70EEECC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0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7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4180</Words>
  <Characters>23831</Characters>
  <Application>Microsoft Office Word</Application>
  <DocSecurity>0</DocSecurity>
  <Lines>198</Lines>
  <Paragraphs>55</Paragraphs>
  <ScaleCrop>false</ScaleCrop>
  <Company>Home</Company>
  <LinksUpToDate>false</LinksUpToDate>
  <CharactersWithSpaces>27956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Власть как концепт и категория дискурса</dc:title>
  <dc:subject/>
  <dc:creator>Alena</dc:creator>
  <cp:keywords/>
  <dc:description/>
  <cp:lastModifiedBy>admin</cp:lastModifiedBy>
  <cp:revision>2</cp:revision>
  <dcterms:created xsi:type="dcterms:W3CDTF">2014-02-19T11:22:00Z</dcterms:created>
  <dcterms:modified xsi:type="dcterms:W3CDTF">2014-02-19T11:22:00Z</dcterms:modified>
</cp:coreProperties>
</file>