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CD" w:rsidRPr="009A490A" w:rsidRDefault="007216CD" w:rsidP="007216CD">
      <w:pPr>
        <w:spacing w:before="120"/>
        <w:jc w:val="center"/>
        <w:rPr>
          <w:b/>
          <w:bCs/>
          <w:sz w:val="32"/>
          <w:szCs w:val="32"/>
        </w:rPr>
      </w:pPr>
      <w:r w:rsidRPr="009A490A">
        <w:rPr>
          <w:b/>
          <w:bCs/>
          <w:sz w:val="32"/>
          <w:szCs w:val="32"/>
        </w:rPr>
        <w:t>Влияние тонуса периферических сосудов на степень депонирования средних молекул у больных в этаноловой интоксикации</w:t>
      </w:r>
    </w:p>
    <w:p w:rsidR="007216CD" w:rsidRPr="009A490A" w:rsidRDefault="007216CD" w:rsidP="007216CD">
      <w:pPr>
        <w:spacing w:before="120"/>
        <w:jc w:val="center"/>
        <w:rPr>
          <w:sz w:val="28"/>
          <w:szCs w:val="28"/>
        </w:rPr>
      </w:pPr>
      <w:r w:rsidRPr="009A490A">
        <w:rPr>
          <w:sz w:val="28"/>
          <w:szCs w:val="28"/>
        </w:rPr>
        <w:t>Кмн. Сафаров Хамза Ахунджанович</w:t>
      </w:r>
    </w:p>
    <w:p w:rsidR="007216CD" w:rsidRPr="009A490A" w:rsidRDefault="007216CD" w:rsidP="007216CD">
      <w:pPr>
        <w:spacing w:before="120"/>
        <w:jc w:val="center"/>
        <w:rPr>
          <w:sz w:val="28"/>
          <w:szCs w:val="28"/>
        </w:rPr>
      </w:pPr>
      <w:r w:rsidRPr="009A490A">
        <w:rPr>
          <w:sz w:val="28"/>
          <w:szCs w:val="28"/>
        </w:rPr>
        <w:t>Бухарский филиал РНЦЭМП.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Этаноловая интоксикация- состояние, развивающееся в результате приема алкоголя, по степени проявления симптомов бывает легкой, средней и тяжелой. Легкая степень интоксикация наблюдается при концентрации алкоголя в крови до 2%, средняя- до 3%, тяжелая- выше 3%. Содержание концентрации алкоголя в крови выше 5% считается смертельным. Указанные параметры хотя и являются признаками в определении степени опьянения человека, не служат абсолютными показателями в диагностике состояния алкогольного опьянения. Дело в том, что быстрота развития и выраженность симптомов опьянения зависят не только от количества принятого алкоголя, но и от характера пищи, массы тела, общего состояния здоровья, а также от типа высшей нервной деятельности человека, от индивидуальной чувствительности организма, степени утомляемости и качества спиртных напитков. Влияние острой и хронической алкогольной интоксикации на здоровье человека является одной из актуальных и до конца не решенных задач современной медицины. Поражая все органы и системы организма, алкоголь и продуктов метаболизма приводит к ранней инвалидизации молодого и наиболее трудоспособного населения.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Поступив в кровь , этанол распространяется по водным пространствам, распределяется в излюбленных органах и биотрасформируется. В результате теряет токсические свойства. Однако превращение этанола происходит по типу “летального синтеза”, то есть с образованием более токсичных продуктов. Метаболические нарушения, вызываемые этанолом: обнаружение гиперлипедемии, общей гиперхолестеринемии, гипертриглицеридемии: повышение уровня холестерина в составе липопротедов высокой плотности (ХЛВП); развитие кетоацидоза и гиперурикемии; увеличение величины соотношения JgA/трансферрин; повышение соотношения L--амино--H--масляная кислота/лейцин; снижение уровня азота мочевины при нормальном содержании креатина и повышенном гаптоглобине и др. Повышается в крови активности глутамилтрансферазы (ГГТ), аланинаминотрансферазы (АЛТ) и аспартатаминотрансферазы (АСТ), щелочной фосфатазы, алкогольдегидрогеназы (АДГ) и микросомальной этанолокисляющей системы. Снижается активность альдегидрогеназы (АльДГ) с увеличением ацетатальдегида и среднего корпускулярного объема эритроцитов (СКОЭ) (А.Е. Успенский ,1986)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Исследовано 56 больных с этаноловой интоксикации в возрасте от 27 до 55 лет.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Распределение больных с этаноловой интоксикации по полу и возрасту. Табл.№1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7216CD" w:rsidRPr="00253221" w:rsidTr="00171133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Возраст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Муж.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Жен.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Всего.</w:t>
            </w:r>
          </w:p>
        </w:tc>
      </w:tr>
      <w:tr w:rsidR="007216CD" w:rsidRPr="00253221" w:rsidTr="00171133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До 30 лет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16</w:t>
            </w:r>
          </w:p>
        </w:tc>
      </w:tr>
      <w:tr w:rsidR="007216CD" w:rsidRPr="00253221" w:rsidTr="00171133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От 31 до 50 лет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32</w:t>
            </w:r>
          </w:p>
        </w:tc>
      </w:tr>
      <w:tr w:rsidR="007216CD" w:rsidRPr="00253221" w:rsidTr="00171133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От 51 и старше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8</w:t>
            </w:r>
          </w:p>
        </w:tc>
      </w:tr>
      <w:tr w:rsidR="007216CD" w:rsidRPr="00253221" w:rsidTr="00171133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Всего.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r w:rsidRPr="00253221">
              <w:t>56</w:t>
            </w:r>
          </w:p>
        </w:tc>
      </w:tr>
    </w:tbl>
    <w:p w:rsidR="007216CD" w:rsidRPr="00253221" w:rsidRDefault="007216CD" w:rsidP="007216CD">
      <w:pPr>
        <w:spacing w:before="120"/>
        <w:ind w:firstLine="567"/>
        <w:jc w:val="both"/>
      </w:pPr>
      <w:r w:rsidRPr="00253221">
        <w:t>У всех больных в клинической картине при поступлении отмечались, кроме признаков нарушения вегетативных функций, проявлялись симптомы растройства координации, диплопия, дизартрия, исчезновение критического отношения к своим словам и действиям, нарушение ориентировки в окружающем, у некоторых рвота , непроизвольное мочеиспускание, дефекация и полная амнезия.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Всем больным для ликвидации этаноловой интоксикации проводился традиционный способ: объязательное промывание желудка , очистительная клизма, внутривенное вливание глюкозы с аскорбиновой кислотой, тиамином и пиридоксином, а также симптомотерапия при нарушении дыхания и сердечной деятельности.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Для исследования показателей центральной гемодинамики (ЦГ) у больных этаноловой интоксикации использован метод интегральной реографии тела (ИРГТ), предложенной М.И.Тищенко (1970).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Оценивались основные показатели ЦГ: ударный и минутный объёмы кровообращения (УО и МОК) , ударный и сердечный индексы (УИ и СИ ), коэффицент резерва (КР)- отношение фактического МОК к его должной величине, коэффицент интегральной тоничности (КИТ), количественно характеризирующий состояния системного артериального тонуса.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Регистрация ИРГТ осуществлялась с помощью кондуктометрического систоломографа КСВГ-1т, работающего при частоте 30кГц и имеющего мостовую схему .Запись кривой ИРГТ осуществлялась на электрокардиографе ЭК-1т-03 при скорости движения бумаги 25ммсек.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О степени выраженности эндогенной интоксикации судили по концентрации средних молекул(СМ), определяемой в крови экспресс методом (А.С.СССР №1255933 от 20.12.84 г.)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Для объективизации результатов мы выделили две группы больных: 1 группу составили 21 больных, этаноловая интоксикация с отсуствием патологического влечения к опьянению и 2 группу составили 35 больных этаноловая интоксикация с патологическим влечением к опьянению.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При исследовании ЦГ в целом у всех больных в соматогенной стадии этаноловой интоксикации нами были получены следующие данные.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Показатели ЦГ в соматогенной стадии этаноловой интоксикации обеих групп. Табл.№2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7216CD" w:rsidRPr="00253221" w:rsidTr="00171133">
        <w:trPr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Показатели ЦГ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Нормальные показатели ЦГ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1 группа больных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2 группа больных</w:t>
            </w:r>
          </w:p>
        </w:tc>
      </w:tr>
      <w:tr w:rsidR="007216CD" w:rsidRPr="00253221" w:rsidTr="00171133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УИмл.м2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42,0 +0,8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35,6 +1,7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32,5</w:t>
            </w:r>
            <w:r>
              <w:t xml:space="preserve"> </w:t>
            </w:r>
            <w:r w:rsidRPr="00253221">
              <w:t>+ 1,8*</w:t>
            </w:r>
          </w:p>
        </w:tc>
      </w:tr>
      <w:tr w:rsidR="007216CD" w:rsidRPr="00253221" w:rsidTr="00171133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ЧССмин1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65</w:t>
            </w:r>
            <w:r>
              <w:t xml:space="preserve"> </w:t>
            </w:r>
            <w:r w:rsidRPr="00253221">
              <w:t>+</w:t>
            </w:r>
            <w:r>
              <w:t xml:space="preserve"> </w:t>
            </w:r>
            <w:r w:rsidRPr="00253221">
              <w:t>8,0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96,7</w:t>
            </w:r>
            <w:r>
              <w:t xml:space="preserve"> </w:t>
            </w:r>
            <w:r w:rsidRPr="00253221">
              <w:t>+</w:t>
            </w:r>
            <w:r>
              <w:t xml:space="preserve"> </w:t>
            </w:r>
            <w:r w:rsidRPr="00253221">
              <w:t>3,2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91,2</w:t>
            </w:r>
            <w:r>
              <w:t xml:space="preserve"> </w:t>
            </w:r>
            <w:r w:rsidRPr="00253221">
              <w:t>+</w:t>
            </w:r>
            <w:r>
              <w:t xml:space="preserve"> </w:t>
            </w:r>
            <w:r w:rsidRPr="00253221">
              <w:t>4,1*</w:t>
            </w:r>
          </w:p>
        </w:tc>
      </w:tr>
      <w:tr w:rsidR="007216CD" w:rsidRPr="00253221" w:rsidTr="00171133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СИ л.мин.м2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3,1 + 0,7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3,18 + 0,31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2,82 + 0,12*</w:t>
            </w:r>
          </w:p>
        </w:tc>
      </w:tr>
      <w:tr w:rsidR="007216CD" w:rsidRPr="00253221" w:rsidTr="00171133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КР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1,0 + 0,1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0,93 + 0,06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1,18 + 0,07</w:t>
            </w:r>
          </w:p>
        </w:tc>
      </w:tr>
      <w:tr w:rsidR="007216CD" w:rsidRPr="00253221" w:rsidTr="00171133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КИТ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77,0 + 1,6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82,3 + 0,6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76,2 + 0,9</w:t>
            </w:r>
          </w:p>
        </w:tc>
      </w:tr>
    </w:tbl>
    <w:p w:rsidR="007216CD" w:rsidRPr="00253221" w:rsidRDefault="007216CD" w:rsidP="007216CD">
      <w:pPr>
        <w:spacing w:before="120"/>
        <w:ind w:firstLine="567"/>
        <w:jc w:val="both"/>
      </w:pPr>
      <w:r w:rsidRPr="00253221">
        <w:t>Примечание: *- достоверность [ P&gt;0.05] относительно 1 группы.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В1 группе больных (n-21) имела тенденция к развитию сердечной недостаточности, отмечен гиподинамический режим кровообращения . В среднем УИ составило 35,6 + 1,7 ЧСС на 34,3% превышало среднефизиологическую норму. Увеличение ЧСС вполне логично рассматривать как компенсаторную реакцию на уменьшение производительности сердца с целью поддержания удовлетворительного минутного объема кровообращения. Благодаря указанному , величина СИ у больных данной группы оказалась в границах допустимых физиологических значений. КИТ имеет тенденцию к увеличению системного тонуса, составившим 82,3+0,6. КР приближался к нижней границе физиологической нормы, характеризует внеклеточная дегидратация.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Во 2 группе (n-35) тоже отмечен гиподинамический режим кровообращения, с выраженной степенью сердечной недостаточности в сравнении с предыдущей группой. Колебания УИ составили 22,7- 37,3 мл.м2 в среднем32,5 + 1,5. Величина ЧСС варьировала в пределах от 58 до 135 мин1 и на 26,7% превышала среднефизиологическую норму. Превалирование в данной группе больных с тахикардией обусловило сохранение показателя СИ в пределах нормы. КИТ был достоверно ниже по сравнению с предыдущей группой на 1,4%.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Концентрация СМ у больных обеих группы определялась в плазме крови из подключичной вены.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Поставив задачу, определит степень влияния характера ЦГ на уровень концентрации СМ в плазме крови, мы сравнили значения концентрации СМ в двух группах.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Табл.№3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7216CD" w:rsidRPr="00253221" w:rsidTr="00171133">
        <w:trPr>
          <w:trHeight w:val="455"/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биосреда</w:t>
            </w:r>
          </w:p>
        </w:tc>
        <w:tc>
          <w:tcPr>
            <w:tcW w:w="71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Концентрация СМ , мкгмл</w:t>
            </w:r>
          </w:p>
        </w:tc>
      </w:tr>
      <w:tr w:rsidR="007216CD" w:rsidRPr="00253221" w:rsidTr="00171133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норма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1группа больных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2 группа больных</w:t>
            </w:r>
          </w:p>
        </w:tc>
      </w:tr>
      <w:tr w:rsidR="007216CD" w:rsidRPr="00253221" w:rsidTr="00171133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Default="007216CD" w:rsidP="00171133">
            <w:pPr>
              <w:spacing w:before="120"/>
              <w:ind w:firstLine="567"/>
              <w:jc w:val="both"/>
            </w:pPr>
            <w:r w:rsidRPr="00253221">
              <w:t>Кровь из подключичной вены</w:t>
            </w:r>
          </w:p>
          <w:p w:rsidR="007216CD" w:rsidRPr="00253221" w:rsidRDefault="007216CD" w:rsidP="00171133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115 + 22,0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243,3 + 16,7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CD" w:rsidRPr="00253221" w:rsidRDefault="007216CD" w:rsidP="00171133">
            <w:pPr>
              <w:spacing w:before="120"/>
              <w:ind w:firstLine="567"/>
              <w:jc w:val="both"/>
            </w:pPr>
            <w:r w:rsidRPr="00253221">
              <w:t>361,2 +13,4*</w:t>
            </w:r>
          </w:p>
        </w:tc>
      </w:tr>
    </w:tbl>
    <w:p w:rsidR="007216CD" w:rsidRPr="00253221" w:rsidRDefault="007216CD" w:rsidP="007216CD">
      <w:pPr>
        <w:spacing w:before="120"/>
        <w:ind w:firstLine="567"/>
        <w:jc w:val="both"/>
      </w:pPr>
      <w:r w:rsidRPr="00253221">
        <w:t>Примечание: *- достоверность различий [P&lt;0.05] с предыдущей группой.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>Как видно из таблицы №3. максимальные значения концентрации СМ в плазме крови, были присущи с гиподинамическом типом кровообращения в сочетание с низким КИТ. Отличительной особенностью первой и второй группы является , величина системного тонуса, значение же УИ. в обеих группах соответствует гиподинамическому режиму кровообращения.</w:t>
      </w:r>
    </w:p>
    <w:p w:rsidR="007216CD" w:rsidRPr="00253221" w:rsidRDefault="007216CD" w:rsidP="007216CD">
      <w:pPr>
        <w:spacing w:before="120"/>
        <w:ind w:firstLine="567"/>
        <w:jc w:val="both"/>
      </w:pPr>
      <w:r w:rsidRPr="00253221">
        <w:t xml:space="preserve">Резюмируя изложенные данные; важным обстоятельством, подтверждающим зависимость уровня концентрации СМ в крови от состояния тонуса сосудов, что при сравнении концентрации СМ в крови у больных с приблизительно одинаковой тяжести состоянии , более высокая концентрация СМ определялась у больных с меньшей величиной КИТ, то есть у больных с патологическим влечением к опьянению.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6CD"/>
    <w:rsid w:val="00171133"/>
    <w:rsid w:val="00253221"/>
    <w:rsid w:val="003E2EE0"/>
    <w:rsid w:val="0047696C"/>
    <w:rsid w:val="0050390D"/>
    <w:rsid w:val="00647A74"/>
    <w:rsid w:val="007216CD"/>
    <w:rsid w:val="009A490A"/>
    <w:rsid w:val="00B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D09147-7B62-4F11-BAFD-C4EC968D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1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6300</Characters>
  <Application>Microsoft Office Word</Application>
  <DocSecurity>0</DocSecurity>
  <Lines>52</Lines>
  <Paragraphs>14</Paragraphs>
  <ScaleCrop>false</ScaleCrop>
  <Company>Home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тонуса периферических сосудов на степень депонирования средних молекул у больных в этаноловой интоксикации</dc:title>
  <dc:subject/>
  <dc:creator>Alena</dc:creator>
  <cp:keywords/>
  <dc:description/>
  <cp:lastModifiedBy>admin</cp:lastModifiedBy>
  <cp:revision>2</cp:revision>
  <dcterms:created xsi:type="dcterms:W3CDTF">2014-02-19T18:17:00Z</dcterms:created>
  <dcterms:modified xsi:type="dcterms:W3CDTF">2014-02-19T18:17:00Z</dcterms:modified>
</cp:coreProperties>
</file>