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E8" w:rsidRPr="0045547C" w:rsidRDefault="004D38E8" w:rsidP="004D38E8">
      <w:pPr>
        <w:spacing w:before="120"/>
        <w:jc w:val="center"/>
        <w:rPr>
          <w:b/>
          <w:bCs/>
          <w:sz w:val="32"/>
          <w:szCs w:val="32"/>
        </w:rPr>
      </w:pPr>
      <w:r w:rsidRPr="0045547C">
        <w:rPr>
          <w:b/>
          <w:bCs/>
          <w:sz w:val="32"/>
          <w:szCs w:val="32"/>
        </w:rPr>
        <w:t xml:space="preserve">Влияние занятий различными видами спорта на психическую устойчивость и физическую подготовленность подростков с асоциальным поведением </w:t>
      </w:r>
    </w:p>
    <w:p w:rsidR="004D38E8" w:rsidRPr="0045547C" w:rsidRDefault="004D38E8" w:rsidP="004D38E8">
      <w:pPr>
        <w:spacing w:before="120"/>
        <w:jc w:val="center"/>
        <w:rPr>
          <w:sz w:val="28"/>
          <w:szCs w:val="28"/>
        </w:rPr>
      </w:pPr>
      <w:r w:rsidRPr="0045547C">
        <w:rPr>
          <w:sz w:val="28"/>
          <w:szCs w:val="28"/>
        </w:rPr>
        <w:t xml:space="preserve">Доктор педагогических наук, профессор В.А. Кабачков, Доктор педагогических наук, профессор С.Ю. Тюленьков, Кандидат педагогических наук, доцент В.А. Куренцов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 процессе развития и становления личности подростка наряду с интенсивной морфофункциональной перестройкой организма происходят изменения в психоэмоциональной сфере, что зачастую выражается в неадекватности поведенческих реакций на происходящие события, возникновении конфликтов с родителями и учителями и т.д.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Весьма показателен тот факт, что подростки в возрасте 14-17 лет, составляющие всего 7% населения страны, совершают более 14% всех преступлений, около 20% подростков "группы риска" состоят на учете в органах МВД.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Вопросам профилактики асоциального и противоправного поведения средствами физической культуры и спорта посвящены многолетние исследования сотрудников и аспирантов сектора оздоровительной физической культуры и массового спорта ВНИИФКа, возглавляемого профессором В.А. Кабачковым.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Проведенные исследования убедительно показали огромное значение привлечения подростков к регулярным занятиям ФКС во взаимодействии с местными органами управления, общеобразовательными организациями, родителями, органами МВД как фактора профилактики не только правонарушений, но и употребления психоактивных веществ.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Доказана возможность профилактической работы с трудновоспитуемыми учащимися во внешкольных учреждениях (В.Б. Баженов, 1975); в ходе проведения школьных и смешанных занятий ФКС (Ю.И. Зотов, 1973; В.Е. Крылова, 1993; А.И. Михеев, 1996). Изучалось влияние занятий физическими упражнениями на перестройку мотивационной сферы (Ю.И.Зотов, 1991); коррекцию личностных качеств (Т.Н. Краснобаева, 1996; В.И. Сиваков, 1998; О.А. Борисова, 1999); в условиях деятельности трудовых и спортивных лагерей (В.Г. Баженов, 1975; И.А. Невский, 1982). Реже специалисты обращались к вопросу профилактики асоциального поведения средствами ФКС в подростковых клубах по месту жительства. Практически остается не изученной проблема формирования психоэмоциональной устойчивости и становления социального статуса дизадаптированных подростков в зависимости от вида спортивной деятельности.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Исходя из вышеизложенного была поставлена задача изучить влияние занятий различными видами спорта (бокс, атлетическая гимнастика и спортивные игры) на развитие психофизических качеств подростков.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Выбор единоборств, индивидуального (атлетическая гимнастика) и командного (игры) видов деятельности был связан с принципиальными различиями этих видов спорта по мотивационным, целевым и психоэмоциональным факторам.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 эксперименте приняли участие 66 подростков (по 22 в каждой группе). Учебно-тренировочные занятия проводились три раза в неделю во внеурочное время по два часа каждое занятие.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Таблица 1. Изменение показателей физической подготовленности дизадаптированных подростков, занимающихся различными видами спорта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352"/>
        <w:gridCol w:w="1777"/>
        <w:gridCol w:w="1777"/>
        <w:gridCol w:w="1965"/>
      </w:tblGrid>
      <w:tr w:rsidR="004D38E8" w:rsidRPr="007C6D8C" w:rsidTr="00AC5F5D">
        <w:trPr>
          <w:tblCellSpacing w:w="0" w:type="dxa"/>
        </w:trPr>
        <w:tc>
          <w:tcPr>
            <w:tcW w:w="42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 xml:space="preserve">№ </w:t>
            </w:r>
          </w:p>
        </w:tc>
        <w:tc>
          <w:tcPr>
            <w:tcW w:w="10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Показатели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Период измерения</w:t>
            </w:r>
          </w:p>
        </w:tc>
        <w:tc>
          <w:tcPr>
            <w:tcW w:w="28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Виды спорта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10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Бокс (n=22)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Волейбол (n=22)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Атлетическая гимнастика (n=22)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10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28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X+Sx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Подтягивание на перекладине, колич. раз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7,71±0,81</w:t>
            </w:r>
          </w:p>
          <w:p w:rsidR="004D38E8" w:rsidRPr="007C6D8C" w:rsidRDefault="004D38E8" w:rsidP="00AC5F5D">
            <w:r w:rsidRPr="007C6D8C">
              <w:t>8,45±0,36</w:t>
            </w:r>
          </w:p>
          <w:p w:rsidR="004D38E8" w:rsidRPr="007C6D8C" w:rsidRDefault="004D38E8" w:rsidP="00AC5F5D">
            <w:r w:rsidRPr="007C6D8C">
              <w:t>&gt;0,001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6,7±0,69</w:t>
            </w:r>
          </w:p>
          <w:p w:rsidR="004D38E8" w:rsidRPr="007C6D8C" w:rsidRDefault="004D38E8" w:rsidP="00AC5F5D">
            <w:r w:rsidRPr="007C6D8C">
              <w:t>8,83±0,51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9,26±0,54</w:t>
            </w:r>
          </w:p>
          <w:p w:rsidR="004D38E8" w:rsidRPr="007C6D8C" w:rsidRDefault="004D38E8" w:rsidP="00AC5F5D">
            <w:r w:rsidRPr="007C6D8C">
              <w:t>12,36±0,54</w:t>
            </w:r>
          </w:p>
          <w:p w:rsidR="004D38E8" w:rsidRPr="007C6D8C" w:rsidRDefault="004D38E8" w:rsidP="00AC5F5D">
            <w:r w:rsidRPr="007C6D8C">
              <w:t>&lt;0,001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2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Прыжок в длину с места, см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176,95±3,63</w:t>
            </w:r>
          </w:p>
          <w:p w:rsidR="004D38E8" w:rsidRPr="007C6D8C" w:rsidRDefault="004D38E8" w:rsidP="00AC5F5D">
            <w:r w:rsidRPr="007C6D8C">
              <w:t>223,41±4,05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186,43±3,47</w:t>
            </w:r>
          </w:p>
          <w:p w:rsidR="004D38E8" w:rsidRPr="007C6D8C" w:rsidRDefault="004D38E8" w:rsidP="00AC5F5D">
            <w:r w:rsidRPr="007C6D8C">
              <w:t>220,94±2,06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211,37±4,29</w:t>
            </w:r>
          </w:p>
          <w:p w:rsidR="004D38E8" w:rsidRPr="007C6D8C" w:rsidRDefault="004D38E8" w:rsidP="00AC5F5D">
            <w:r w:rsidRPr="007C6D8C">
              <w:t>216,74±3,22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3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Гибкость, см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6,64±0,50</w:t>
            </w:r>
          </w:p>
          <w:p w:rsidR="004D38E8" w:rsidRPr="007C6D8C" w:rsidRDefault="004D38E8" w:rsidP="00AC5F5D">
            <w:r w:rsidRPr="007C6D8C">
              <w:t>12,72±1,08</w:t>
            </w:r>
          </w:p>
          <w:p w:rsidR="004D38E8" w:rsidRPr="007C6D8C" w:rsidRDefault="004D38E8" w:rsidP="00AC5F5D">
            <w:r w:rsidRPr="007C6D8C">
              <w:t>&lt;0.001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7,29±1,16</w:t>
            </w:r>
          </w:p>
          <w:p w:rsidR="004D38E8" w:rsidRPr="007C6D8C" w:rsidRDefault="004D38E8" w:rsidP="00AC5F5D">
            <w:r w:rsidRPr="007C6D8C">
              <w:t>14,83±1,09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6,39±0,59</w:t>
            </w:r>
          </w:p>
          <w:p w:rsidR="004D38E8" w:rsidRPr="007C6D8C" w:rsidRDefault="004D38E8" w:rsidP="00AC5F5D">
            <w:r w:rsidRPr="007C6D8C">
              <w:t>7,00±0,32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4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Бег 30 м, с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4,86±0,06</w:t>
            </w:r>
          </w:p>
          <w:p w:rsidR="004D38E8" w:rsidRPr="007C6D8C" w:rsidRDefault="004D38E8" w:rsidP="00AC5F5D">
            <w:r w:rsidRPr="007C6D8C">
              <w:t>4,32±0,04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4,96±0,08</w:t>
            </w:r>
          </w:p>
          <w:p w:rsidR="004D38E8" w:rsidRPr="007C6D8C" w:rsidRDefault="004D38E8" w:rsidP="00AC5F5D">
            <w:r w:rsidRPr="007C6D8C">
              <w:t>4,47±0,05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5,04±0,03</w:t>
            </w:r>
          </w:p>
          <w:p w:rsidR="004D38E8" w:rsidRPr="007C6D8C" w:rsidRDefault="004D38E8" w:rsidP="00AC5F5D">
            <w:r w:rsidRPr="007C6D8C">
              <w:t>4,62±0,04</w:t>
            </w:r>
          </w:p>
          <w:p w:rsidR="004D38E8" w:rsidRPr="007C6D8C" w:rsidRDefault="004D38E8" w:rsidP="00AC5F5D">
            <w:r w:rsidRPr="007C6D8C">
              <w:t>&lt;0,001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5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Челночный бег 5x10 м, с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15,50±0,25</w:t>
            </w:r>
          </w:p>
          <w:p w:rsidR="004D38E8" w:rsidRPr="007C6D8C" w:rsidRDefault="004D38E8" w:rsidP="00AC5F5D">
            <w:r w:rsidRPr="007C6D8C">
              <w:t>13,78±0,16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15,01±0 28</w:t>
            </w:r>
          </w:p>
          <w:p w:rsidR="004D38E8" w:rsidRPr="007C6D8C" w:rsidRDefault="004D38E8" w:rsidP="00AC5F5D">
            <w:r w:rsidRPr="007C6D8C">
              <w:t>12,58±0,16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15,74±0,31</w:t>
            </w:r>
          </w:p>
          <w:p w:rsidR="004D38E8" w:rsidRPr="007C6D8C" w:rsidRDefault="004D38E8" w:rsidP="00AC5F5D">
            <w:r w:rsidRPr="007C6D8C">
              <w:t>14,07±0,29</w:t>
            </w:r>
          </w:p>
          <w:p w:rsidR="004D38E8" w:rsidRPr="007C6D8C" w:rsidRDefault="004D38E8" w:rsidP="00AC5F5D">
            <w:r w:rsidRPr="007C6D8C">
              <w:t>&lt;0,001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6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Бег 1000 м,с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257,32±2,9З</w:t>
            </w:r>
          </w:p>
          <w:p w:rsidR="004D38E8" w:rsidRPr="007C6D8C" w:rsidRDefault="004D38E8" w:rsidP="00AC5F5D">
            <w:r w:rsidRPr="007C6D8C">
              <w:t>239,15±3,81</w:t>
            </w:r>
          </w:p>
          <w:p w:rsidR="004D38E8" w:rsidRPr="007C6D8C" w:rsidRDefault="004D38E8" w:rsidP="00AC5F5D">
            <w:r w:rsidRPr="007C6D8C">
              <w:t>&lt;0,01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259,53±5,85</w:t>
            </w:r>
          </w:p>
          <w:p w:rsidR="004D38E8" w:rsidRPr="007C6D8C" w:rsidRDefault="004D38E8" w:rsidP="00AC5F5D">
            <w:r w:rsidRPr="007C6D8C">
              <w:t>240,21±3,74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265,72±2,79</w:t>
            </w:r>
          </w:p>
          <w:p w:rsidR="004D38E8" w:rsidRPr="007C6D8C" w:rsidRDefault="004D38E8" w:rsidP="00AC5F5D">
            <w:r w:rsidRPr="007C6D8C">
              <w:t>258,43±2,54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</w:tbl>
    <w:p w:rsidR="004D38E8" w:rsidRPr="007C6D8C" w:rsidRDefault="004D38E8" w:rsidP="004D38E8">
      <w:pPr>
        <w:spacing w:before="120"/>
        <w:ind w:firstLine="567"/>
        <w:jc w:val="both"/>
      </w:pPr>
      <w:r w:rsidRPr="007C6D8C">
        <w:t>Примечание: Здесь и в табл. 2: Н - начало эксперимента, К - конец эксперимента, р - уровень достоверности различий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Основу содержания экспериментальных уроков составила модифицированная методика проведения учебно-тренировочных занятий по вышеперечисленным видам спорта для детско-юношеских спортивных школ. На каждом уроке включался комплекс педагогических приемов, направленных на коррекцию физического, психического и нравственного состояния испытуемых, среди которых необходимо выделить следующие: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учебный материал должен быть понятен и доступен подросткам, но осваивать его они должны с определенными усилиями, в противном случае тренировочный процесс теряет свою привлекательность;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усложнение упражнений и увеличение нагрузки осуществляются постепенно, но постоянно по мере формирования интереса к занятиям;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ко всем занимающимся предъявляются одинаковые требования с опорой на положительные личностные качества, пробуждая у учащихся самолюбие, уверенность в своих силах; сознательность и активность;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своевременно и тщательно принимать методы принуждения, поощрения и наказания; использовать метод поощрения даже при неудачном выполнении того или иного упражнения;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вводить в тренировку элементы нового, включая соревновательный метод внутри группы, где в качестве судей выступают сами занимающиеся;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осуществлять анализ успехов и недостатков в учебно-тренировочной деятельности в группах и контроль за выполнением поручений тренера, следить за дисциплиной, внешним видом, посещаемостью, подготовкой и уборкой мест проведения занятий;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прививать навыки самоконтроля, проводить контроль за успеваемостью в школе, вести дневник тренировок, планировать нагрузки.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Здесь мы остановимся на рациональных приемах коррекции психического состояния подростков с асоциальным поведением, которые применялись в процессе учебно-тренировочной деятельности. В частности, целесообразно: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создать педагогические ситуации, в которых тревожные подростки могли бы действовать уверенно, без напряжения, страха (выполнение упражнений в облегченных условиях); при неуверенности учащегося иметь несколько вариантов выполнения задания преодоления неуверенности путем самоприказа; извлечение максимальной пользы из неудачи; предоставление форы тревожным и т.п.);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поощрять тревожных учащихся за трудолюбие, преодоление неуверенности, за удачно выполненное задание, самостоятельность;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предоставлять агрессивным подросткам ведущие роли при выполнении упражнений (приеме нормативов, тестировании, проведении эстафет);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педагогически правильно расставлять занимающихся в ходе изучения учебного материала (первыми выполняют упражнения агрессивные подростки);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создавать такие педагогические ситуации, при которых у агрессивных учащихся также могут быть неудачи;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извлекать максимальную пользу из неудачного выполнения упражнения агрессивными подростками;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временно отстранять агрессивных подростков от занятий, но с обязательным их присутствием;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справедливо решать конфликтные ситуации;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проводить групповые беседы, акцентируя внимание на положительных сторонах деятельно сти учащихся, умышленно умалчивая об отрицательных;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поддерживать инициативу, самостоятельность, взаимопомощь при освоении физических упражнений.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Столь пристальное внимание, уделенное принципам организации занятий с трудновоспитуемыми подростками, связано с тем, что именно в этом отличие проведения тренировок с ними от тренировок занимающихся, которые не входят в "группу риска", когда тренировки проводятся в соответствии с государственными программами для детских спортивных школ.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Тестирование учащихся, занятых в экспериментальных исследованиях, осуществлялось дважды - в начале и конце учебного года. Среди большого количества тестов нами были выбраны наиболее популярные, которые показали свою надежность на протяжении многолетнего использования при массовых обследованиях. Пакет диагностических методик предусматривает изучение: особенностей поведения подростков, их способностей, самочувствия, отношения к учебе, физкультурно-спортивной и другим видам деятельности, взаимоотношений в коллективе и вне его, потребностей и интересов (в том числе и негативных), физического развития, состояния физической подготовленности и психоэмоциональной сферы.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Для изучения личности в системе социальных отношений разработаны специальные анкеты учащегося общеобразовательной школы. Для объективной оценки личностных качеств подростка одновременно на каждого учащегося тренером, преподавателем заполняется опросный лист, в котором отражены основные характерологические особенности личности. Затем путем сравнения результатов анкетирования учащихся и опроса педагогов составляется психолого-педагогическая характеристика на каждого ученика.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Для определения физического развития измеряются следующие показатели: длина и масса тела, окружность грудной клетки, кистевая и становая динамометрия.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 качестве контрольных тестов, характеризующих физическую подготовленность, выполняются: бег 30 м, подтягивание на перекладине, бег 1000 м, прыжок в длину с места, челночный бег 5х10, наклон туловища вперед из положения сидя.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Направленное использование специально подобранных упражнений из разделов бокса, волейбола, атлетической гимнастики в сочетании с педагогическими приемами в течение года позволило улучшить двигательную подготовленность большинства испытуемых (табл. 1).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Как свидетельствуют результаты тестирования, к концу педагогического эксперимента произошло улучшение всех изучаемых показателей во всех группах, но эти изменения имели определенную направленность в зависимости от вида двигательной деятельности.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Таблица 2. Показатели психического состояния дизадаптированных подростков, занимающихся различными видами спорта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1"/>
        <w:gridCol w:w="2138"/>
        <w:gridCol w:w="1336"/>
        <w:gridCol w:w="1645"/>
        <w:gridCol w:w="1815"/>
        <w:gridCol w:w="1943"/>
      </w:tblGrid>
      <w:tr w:rsidR="004D38E8" w:rsidRPr="007C6D8C" w:rsidTr="00AC5F5D">
        <w:trPr>
          <w:tblCellSpacing w:w="0" w:type="dxa"/>
        </w:trPr>
        <w:tc>
          <w:tcPr>
            <w:tcW w:w="42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№</w:t>
            </w:r>
          </w:p>
        </w:tc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Показатели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Период измерения</w:t>
            </w:r>
          </w:p>
        </w:tc>
        <w:tc>
          <w:tcPr>
            <w:tcW w:w="27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Виды спорта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Бокс (n=22)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Спортивные игры (n=22)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Атлетическая гимнастика (n=22)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8E8" w:rsidRPr="007C6D8C" w:rsidRDefault="004D38E8" w:rsidP="00AC5F5D"/>
        </w:tc>
        <w:tc>
          <w:tcPr>
            <w:tcW w:w="27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X+Sx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Тревожность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10,15±0,49</w:t>
            </w:r>
          </w:p>
          <w:p w:rsidR="004D38E8" w:rsidRPr="007C6D8C" w:rsidRDefault="004D38E8" w:rsidP="00AC5F5D">
            <w:r w:rsidRPr="007C6D8C">
              <w:t>9,91±0,56</w:t>
            </w:r>
          </w:p>
          <w:p w:rsidR="004D38E8" w:rsidRPr="007C6D8C" w:rsidRDefault="004D38E8" w:rsidP="00AC5F5D">
            <w:r w:rsidRPr="007C6D8C">
              <w:t>&gt;0,05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10,09±0,45</w:t>
            </w:r>
          </w:p>
          <w:p w:rsidR="004D38E8" w:rsidRPr="007C6D8C" w:rsidRDefault="004D38E8" w:rsidP="00AC5F5D">
            <w:r w:rsidRPr="007C6D8C">
              <w:t>8,17±0,64</w:t>
            </w:r>
          </w:p>
          <w:p w:rsidR="004D38E8" w:rsidRPr="007C6D8C" w:rsidRDefault="004D38E8" w:rsidP="00AC5F5D">
            <w:r w:rsidRPr="007C6D8C">
              <w:t>&lt;0,05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10,84±0,48</w:t>
            </w:r>
          </w:p>
          <w:p w:rsidR="004D38E8" w:rsidRPr="007C6D8C" w:rsidRDefault="004D38E8" w:rsidP="00AC5F5D">
            <w:r w:rsidRPr="007C6D8C">
              <w:t>9,58±0,43</w:t>
            </w:r>
          </w:p>
          <w:p w:rsidR="004D38E8" w:rsidRPr="007C6D8C" w:rsidRDefault="004D38E8" w:rsidP="00AC5F5D">
            <w:r w:rsidRPr="007C6D8C">
              <w:t>&lt;0,05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Агрессивность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11,08±0,51</w:t>
            </w:r>
          </w:p>
          <w:p w:rsidR="004D38E8" w:rsidRPr="007C6D8C" w:rsidRDefault="004D38E8" w:rsidP="00AC5F5D">
            <w:r w:rsidRPr="007C6D8C">
              <w:t>11,50±0,54</w:t>
            </w:r>
          </w:p>
          <w:p w:rsidR="004D38E8" w:rsidRPr="007C6D8C" w:rsidRDefault="004D38E8" w:rsidP="00AC5F5D">
            <w:r w:rsidRPr="007C6D8C">
              <w:t>&gt;0,05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11,50±0,35</w:t>
            </w:r>
          </w:p>
          <w:p w:rsidR="004D38E8" w:rsidRPr="007C6D8C" w:rsidRDefault="004D38E8" w:rsidP="00AC5F5D">
            <w:r w:rsidRPr="007C6D8C">
              <w:t>8,56±0,46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10,53±0,38</w:t>
            </w:r>
          </w:p>
          <w:p w:rsidR="004D38E8" w:rsidRPr="007C6D8C" w:rsidRDefault="004D38E8" w:rsidP="00AC5F5D">
            <w:r w:rsidRPr="007C6D8C">
              <w:t>10,01±0,27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Самооценка личности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5,85±0,21</w:t>
            </w:r>
          </w:p>
          <w:p w:rsidR="004D38E8" w:rsidRPr="007C6D8C" w:rsidRDefault="004D38E8" w:rsidP="00AC5F5D">
            <w:r w:rsidRPr="007C6D8C">
              <w:t>6,62±0,14</w:t>
            </w:r>
          </w:p>
          <w:p w:rsidR="004D38E8" w:rsidRPr="007C6D8C" w:rsidRDefault="004D38E8" w:rsidP="00AC5F5D">
            <w:r w:rsidRPr="007C6D8C">
              <w:t>&lt;0,01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5,50±0,20</w:t>
            </w:r>
          </w:p>
          <w:p w:rsidR="004D38E8" w:rsidRPr="007C6D8C" w:rsidRDefault="004D38E8" w:rsidP="00AC5F5D">
            <w:r w:rsidRPr="007C6D8C">
              <w:t>7,30±0,12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6,19±0,28</w:t>
            </w:r>
          </w:p>
          <w:p w:rsidR="004D38E8" w:rsidRPr="007C6D8C" w:rsidRDefault="004D38E8" w:rsidP="00AC5F5D">
            <w:r w:rsidRPr="007C6D8C">
              <w:t>7,68±0,17</w:t>
            </w:r>
          </w:p>
          <w:p w:rsidR="004D38E8" w:rsidRPr="007C6D8C" w:rsidRDefault="004D38E8" w:rsidP="00AC5F5D">
            <w:r w:rsidRPr="007C6D8C">
              <w:t>&lt;0,001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4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Эффективность работы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45,85±2,98</w:t>
            </w:r>
          </w:p>
          <w:p w:rsidR="004D38E8" w:rsidRPr="007C6D8C" w:rsidRDefault="004D38E8" w:rsidP="00AC5F5D">
            <w:r w:rsidRPr="007C6D8C">
              <w:t>44,41±2,09</w:t>
            </w:r>
          </w:p>
          <w:p w:rsidR="004D38E8" w:rsidRPr="007C6D8C" w:rsidRDefault="004D38E8" w:rsidP="00AC5F5D">
            <w:r w:rsidRPr="007C6D8C">
              <w:t>&gt;0,05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44,51±1,01</w:t>
            </w:r>
          </w:p>
          <w:p w:rsidR="004D38E8" w:rsidRPr="007C6D8C" w:rsidRDefault="004D38E8" w:rsidP="00AC5F5D">
            <w:r w:rsidRPr="007C6D8C">
              <w:t>34,92±1,51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44,05±1,13</w:t>
            </w:r>
          </w:p>
          <w:p w:rsidR="004D38E8" w:rsidRPr="007C6D8C" w:rsidRDefault="004D38E8" w:rsidP="00AC5F5D">
            <w:r w:rsidRPr="007C6D8C">
              <w:t>44,89±1,83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5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Время врабатываемости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0,94±0,03</w:t>
            </w:r>
          </w:p>
          <w:p w:rsidR="004D38E8" w:rsidRPr="007C6D8C" w:rsidRDefault="004D38E8" w:rsidP="00AC5F5D">
            <w:r w:rsidRPr="007C6D8C">
              <w:t>0,95±0,02</w:t>
            </w:r>
          </w:p>
          <w:p w:rsidR="004D38E8" w:rsidRPr="007C6D8C" w:rsidRDefault="004D38E8" w:rsidP="00AC5F5D">
            <w:r w:rsidRPr="007C6D8C">
              <w:t>&gt;0,05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1,12±0,01</w:t>
            </w:r>
          </w:p>
          <w:p w:rsidR="004D38E8" w:rsidRPr="007C6D8C" w:rsidRDefault="004D38E8" w:rsidP="00AC5F5D">
            <w:r w:rsidRPr="007C6D8C">
              <w:t>1 ,00±0,03</w:t>
            </w:r>
          </w:p>
          <w:p w:rsidR="004D38E8" w:rsidRPr="007C6D8C" w:rsidRDefault="004D38E8" w:rsidP="00AC5F5D">
            <w:r w:rsidRPr="007C6D8C">
              <w:t>&lt;0 001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0,95±0,02</w:t>
            </w:r>
          </w:p>
          <w:p w:rsidR="004D38E8" w:rsidRPr="007C6D8C" w:rsidRDefault="004D38E8" w:rsidP="00AC5F5D">
            <w:r w:rsidRPr="007C6D8C">
              <w:t>0,93±0,02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  <w:tr w:rsidR="004D38E8" w:rsidRPr="007C6D8C" w:rsidTr="00AC5F5D">
        <w:trPr>
          <w:tblCellSpacing w:w="0" w:type="dxa"/>
        </w:trPr>
        <w:tc>
          <w:tcPr>
            <w:tcW w:w="4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Психическая устойчивость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Н</w:t>
            </w:r>
          </w:p>
          <w:p w:rsidR="004D38E8" w:rsidRPr="007C6D8C" w:rsidRDefault="004D38E8" w:rsidP="00AC5F5D">
            <w:r w:rsidRPr="007C6D8C">
              <w:t>К</w:t>
            </w:r>
          </w:p>
          <w:p w:rsidR="004D38E8" w:rsidRPr="007C6D8C" w:rsidRDefault="004D38E8" w:rsidP="00AC5F5D">
            <w:r w:rsidRPr="007C6D8C">
              <w:t>p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0,97±0,0З</w:t>
            </w:r>
          </w:p>
          <w:p w:rsidR="004D38E8" w:rsidRPr="007C6D8C" w:rsidRDefault="004D38E8" w:rsidP="00AC5F5D">
            <w:r w:rsidRPr="007C6D8C">
              <w:t>0,99±0,02</w:t>
            </w:r>
          </w:p>
          <w:p w:rsidR="004D38E8" w:rsidRPr="007C6D8C" w:rsidRDefault="004D38E8" w:rsidP="00AC5F5D">
            <w:r w:rsidRPr="007C6D8C">
              <w:t>&gt;0,05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E8" w:rsidRPr="007C6D8C" w:rsidRDefault="004D38E8" w:rsidP="00AC5F5D">
            <w:r w:rsidRPr="007C6D8C">
              <w:t>1,13±0,03</w:t>
            </w:r>
          </w:p>
          <w:p w:rsidR="004D38E8" w:rsidRPr="007C6D8C" w:rsidRDefault="004D38E8" w:rsidP="00AC5F5D">
            <w:r w:rsidRPr="007C6D8C">
              <w:t>0,95±0,05</w:t>
            </w:r>
          </w:p>
          <w:p w:rsidR="004D38E8" w:rsidRPr="007C6D8C" w:rsidRDefault="004D38E8" w:rsidP="00AC5F5D">
            <w:r w:rsidRPr="007C6D8C">
              <w:t>&lt;0,001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8E8" w:rsidRPr="007C6D8C" w:rsidRDefault="004D38E8" w:rsidP="00AC5F5D">
            <w:r w:rsidRPr="007C6D8C">
              <w:t>0,995±0,02</w:t>
            </w:r>
          </w:p>
          <w:p w:rsidR="004D38E8" w:rsidRPr="007C6D8C" w:rsidRDefault="004D38E8" w:rsidP="00AC5F5D">
            <w:r w:rsidRPr="007C6D8C">
              <w:t>0,93±0,02</w:t>
            </w:r>
          </w:p>
          <w:p w:rsidR="004D38E8" w:rsidRPr="007C6D8C" w:rsidRDefault="004D38E8" w:rsidP="00AC5F5D">
            <w:r w:rsidRPr="007C6D8C">
              <w:t>&gt;0,05</w:t>
            </w:r>
          </w:p>
        </w:tc>
      </w:tr>
    </w:tbl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 группах боксеров и волейболистов наиболее существенные изменения отмечены в тестах, характеризующих быстроту, общую выносливость, гибкость (р&lt;0,001), а в группе атлетической гимнастики - в развитии силовых, скоростных и координационных способностей (р&lt;0,001). Анализ межгрупповых различий свидетельствует о том, что подростки из первой и второй групп достоверно превзошли своих сверстников из третьей группы в этих же видах испытаний, а в силовых показателях существенное преимущество имели юноши, специализирующиеся в атлетической гимнастике (р&lt;0,001), что вполне закономерно.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Сравнительный анализ данных в начале и в конце эксперимента, характеризующих психоэмоциональное состояние дизадаптированных подростков, свидетельствует о том, что занятия спортом независимо от вида оказали положительное влияние на психоэмоциональное состояние подростков (табл. 2).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К завершению экспериментальных занятий у испытуемых наметилась тенденция к улучшению изучаемых показателей. Наибольшие положительные изменения произошли в группе волейболистов. В 1-й и 3-й группах, занимающихся боксом и атлетической гимнастикой, средние результаты также улучшились, но несущественно (р&gt;0,05).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Психическая устойчивость у испытуемых всех групп меньше единицы, что говорит о хорошей психической устойчивости, но у юношей 2-й и 3-й групп она достоверно выше, чем у боксеров.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Преимущественное использование средств игровой и силовой направленности позволяет более эффективно воздействовать на психическое состояние и нормализовать уровень тревожности и агрессивности, повысить самооценку личности в среднем у 74,3% подростков.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 группе боксеров к завершению педагогического эксперимента при недостоверном снижении уровня тревожности и повышении самооценки у 54,5 и 59,1% учащихся отмечается повышение уровня агрессивности, что является неблагоприятным фактором в процессе становления личности.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Таким образом, наблюдаемые в конце экспериментальных занятий позитивные изменения, происходящие в психическом состоянии дизадаптированных подростков, свидетельствуют об эффективности воздействия физических упражнений. Однако средства игровой и силовой направленности по сравнению с единоборствами оказали более эффективное воздействие на стабилизацию тревожного и агрессивного состояния испытуемых, способствовали достоверному повышению самооценки личности и умственной работоспособности.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Вовлечение подростков в занятия различными видами спорта, адекватными их интересам и потребностям, позволило сформировать у большинства из них позитивное отношение к социально значимым видам деятельности. К концу педагогического эксперимента положительно изменилось: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отношение к учебной деятельности. Из общего числа трудновоспитуемых подростков 74,3% юношей - из группы атлетической гимнастики, 64,7% - волейбола и 43,5% - бокса стали положительно относиться к учебе; повысилось качество успеваемости, сократилось число юношей с удовлетворительной успеваемостью в среднем с 72,2 до 61,5% и как следствие произошло достоверное повышение мотивации к учебе, которая оценивается у волейболистов как хорошая, а в 1-й и 3-й группах - как удовлетворительная; уменьшилось число конфликтов с учителями с 63,8 до 55,0%; снизилось количество пропущенных уроков без уважительных причин на 10,7%; сократилось число учащихся, имеющих различные степени педагогической запущенности, с 29,3 до 18,3% в группе волейболистов, с 28,0 до 20,9% в группе юношей, занимающихся атлетической гимнастикой. В группе боксеров также произошли положительные изменения, но они несущественны - с 28,4 до 25,7%;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- отношение к обязательным урокам физического воспитания. От 65,0 до 72,8% испытуемых отмечают, что уроки им нравятся, более 75% опрошенных считают, что занятия необходимы современному человеку, достоверно возросла мотивация к спортивной деятельности, причем наиболее высокая выявлена в группе атлетической гимнастики (р&lt;0,001).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В ходе проведенного исследования изменилось отношение занимающихся к разрешению конфликтных ситуаций. В начале эксперимента 32,6% боксеров и 31,3% подростков из секции атлетической гимнастики при разрешении конфликтов предпочитали прибегнуть к жестким словесным угрозам и делать ставку на силу. К концу исследования число таких подростков в этих группах несколько возросло. В группах же волейболистов количество агрессивных юношей сократилось с 16,7 до 5,9%. </w:t>
      </w:r>
    </w:p>
    <w:p w:rsidR="004D38E8" w:rsidRPr="007C6D8C" w:rsidRDefault="004D38E8" w:rsidP="004D38E8">
      <w:pPr>
        <w:spacing w:before="120"/>
        <w:ind w:firstLine="567"/>
        <w:jc w:val="both"/>
      </w:pPr>
      <w:r w:rsidRPr="007C6D8C">
        <w:t xml:space="preserve">Таким образом, полученные результаты свидетельствуют, что не все виды спортивной деятельности оказывают равнозначное влияние на формирование психоэмоционального состояния и становление социально-педагогического статуса дизадаптированных подростков. Наиболее восприимчивыми к позитивным изменениям оказались испытуемые, программа занятий которых предусматривала игровую и силовую направленность. Использование средств, методов и педагогических приемов из раздела волейбола, атлетической гимнастики способствовало более эффективному снижению психических напряжений, формированию позитивного отношения к социально значимым видам деятельности. В свою очередь, занятия боксом не способствуют снижению агрессивности подростков и поэтому не могут быть рекомендованы лицам, склонным к правонарушениям и асоциальному поведению.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8E8"/>
    <w:rsid w:val="00095BA6"/>
    <w:rsid w:val="0031418A"/>
    <w:rsid w:val="00385025"/>
    <w:rsid w:val="0045547C"/>
    <w:rsid w:val="00477F7F"/>
    <w:rsid w:val="004D38E8"/>
    <w:rsid w:val="005A2562"/>
    <w:rsid w:val="007C6D8C"/>
    <w:rsid w:val="00A44D32"/>
    <w:rsid w:val="00AC5F5D"/>
    <w:rsid w:val="00DC5A5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BFF977-AC8D-43A1-A2C8-2BA4AC66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8E8"/>
    <w:rPr>
      <w:rFonts w:ascii="Verdana" w:hAnsi="Verdana" w:cs="Verdana"/>
      <w:color w:val="00008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13158</Characters>
  <Application>Microsoft Office Word</Application>
  <DocSecurity>0</DocSecurity>
  <Lines>109</Lines>
  <Paragraphs>30</Paragraphs>
  <ScaleCrop>false</ScaleCrop>
  <Company>Home</Company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занятий различными видами спорта на психическую устойчивость и физическую подготовленность подростков с асоциальным поведением </dc:title>
  <dc:subject/>
  <dc:creator>Alena</dc:creator>
  <cp:keywords/>
  <dc:description/>
  <cp:lastModifiedBy>Irina</cp:lastModifiedBy>
  <cp:revision>2</cp:revision>
  <dcterms:created xsi:type="dcterms:W3CDTF">2014-08-07T14:58:00Z</dcterms:created>
  <dcterms:modified xsi:type="dcterms:W3CDTF">2014-08-07T14:58:00Z</dcterms:modified>
</cp:coreProperties>
</file>