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49" w:rsidRPr="00F55835" w:rsidRDefault="007F6F49" w:rsidP="007F6F49">
      <w:pPr>
        <w:spacing w:before="120"/>
        <w:jc w:val="center"/>
        <w:rPr>
          <w:b/>
          <w:sz w:val="32"/>
        </w:rPr>
      </w:pPr>
      <w:r w:rsidRPr="00F55835">
        <w:rPr>
          <w:b/>
          <w:sz w:val="32"/>
        </w:rPr>
        <w:t xml:space="preserve">Возможности ускоренного обновления активной части основного капитала отраслей промышленности </w:t>
      </w:r>
    </w:p>
    <w:p w:rsidR="007F6F49" w:rsidRPr="00F55835" w:rsidRDefault="007F6F49" w:rsidP="007F6F49">
      <w:pPr>
        <w:spacing w:before="120"/>
        <w:jc w:val="center"/>
        <w:rPr>
          <w:sz w:val="28"/>
        </w:rPr>
      </w:pPr>
      <w:r w:rsidRPr="00F55835">
        <w:rPr>
          <w:sz w:val="28"/>
        </w:rPr>
        <w:t>А.К. Корнев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Воспроизводство активной части основного капитала промышленности является важнейшей составляющей инвестиционного процесса. Оно определяет производственно-технологический потенциал всех отраслей экономики как значимый элемент воспроизводимого материального национального богатства. Важнейшие характеристики воспроизводства активной части основного капитала</w:t>
      </w:r>
      <w:r>
        <w:t xml:space="preserve"> - </w:t>
      </w:r>
      <w:r w:rsidRPr="00F55835">
        <w:t>возраст и степень ее износа</w:t>
      </w:r>
      <w:r>
        <w:t xml:space="preserve">, </w:t>
      </w:r>
      <w:r w:rsidRPr="00F55835">
        <w:t>динамика и объемы капиталовложений в оборудование.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Современное состояние активной части основного капитала промышленности характеризуется как крайне неудовлетворительное: машины и оборудование в ее составе преимущественно устарели и критически изношены. В настоящее время средний возраст машин и оборудования в промышленности</w:t>
      </w:r>
      <w:r>
        <w:t xml:space="preserve">, </w:t>
      </w:r>
      <w:r w:rsidRPr="00F55835">
        <w:t>в том числе инвестиционном машиностроении</w:t>
      </w:r>
      <w:r>
        <w:t xml:space="preserve">, </w:t>
      </w:r>
      <w:r w:rsidRPr="00F55835">
        <w:t>составляет более 21-го года</w:t>
      </w:r>
      <w:r>
        <w:t xml:space="preserve">, </w:t>
      </w:r>
      <w:r w:rsidRPr="00F55835">
        <w:t xml:space="preserve">что вдвое больше аналогичного показателя </w:t>
      </w:r>
      <w:smartTag w:uri="urn:schemas-microsoft-com:office:smarttags" w:element="metricconverter">
        <w:smartTagPr>
          <w:attr w:name="ProductID" w:val="1990 г"/>
        </w:smartTagPr>
        <w:r w:rsidRPr="00F55835">
          <w:t>1990 г</w:t>
        </w:r>
      </w:smartTag>
      <w:r w:rsidRPr="00F55835">
        <w:t>. (10</w:t>
      </w:r>
      <w:r>
        <w:t xml:space="preserve">, </w:t>
      </w:r>
      <w:r w:rsidRPr="00F55835">
        <w:t>8 лет). В дореформенный период в качестве нормативного был принят срок обновления оборудования</w:t>
      </w:r>
      <w:r>
        <w:t xml:space="preserve">, </w:t>
      </w:r>
      <w:r w:rsidRPr="00F55835">
        <w:t>равный 12-ти годам</w:t>
      </w:r>
      <w:r>
        <w:t xml:space="preserve">, </w:t>
      </w:r>
      <w:r w:rsidRPr="00F55835">
        <w:t>что намного превышало фактический срок службы оборудования в развитых странах</w:t>
      </w:r>
      <w:r>
        <w:t xml:space="preserve">, </w:t>
      </w:r>
      <w:r w:rsidRPr="00F55835">
        <w:t xml:space="preserve">где он был равен 6-8 годам. В </w:t>
      </w:r>
      <w:smartTag w:uri="urn:schemas-microsoft-com:office:smarttags" w:element="metricconverter">
        <w:smartTagPr>
          <w:attr w:name="ProductID" w:val="2007 г"/>
        </w:smartTagPr>
        <w:r w:rsidRPr="00F55835">
          <w:t>2007 г</w:t>
        </w:r>
      </w:smartTag>
      <w:r w:rsidRPr="00F55835">
        <w:t>. доля машин и оборудования в составе основных фондов гфомьппленно-сти</w:t>
      </w:r>
      <w:r>
        <w:t xml:space="preserve">, </w:t>
      </w:r>
      <w:r w:rsidRPr="00F55835">
        <w:t>в том числе инвестиционного машиностроения</w:t>
      </w:r>
      <w:r>
        <w:t xml:space="preserve">, </w:t>
      </w:r>
      <w:r w:rsidRPr="00F55835">
        <w:t>составила: в возрасте свыше 20 лет 51</w:t>
      </w:r>
      <w:r>
        <w:t xml:space="preserve">, </w:t>
      </w:r>
      <w:r w:rsidRPr="00F55835">
        <w:t>5%</w:t>
      </w:r>
      <w:r>
        <w:t xml:space="preserve">, </w:t>
      </w:r>
      <w:r w:rsidRPr="00F55835">
        <w:t>10-ти лет</w:t>
      </w:r>
      <w:r>
        <w:t xml:space="preserve"> - </w:t>
      </w:r>
      <w:r w:rsidRPr="00F55835">
        <w:t>13</w:t>
      </w:r>
      <w:r>
        <w:t xml:space="preserve">, </w:t>
      </w:r>
      <w:r w:rsidRPr="00F55835">
        <w:t>7</w:t>
      </w:r>
      <w:r>
        <w:t xml:space="preserve">, </w:t>
      </w:r>
      <w:r w:rsidRPr="00F55835">
        <w:t>15-ти лет</w:t>
      </w:r>
      <w:r>
        <w:t xml:space="preserve"> - </w:t>
      </w:r>
      <w:r w:rsidRPr="00F55835">
        <w:t>25</w:t>
      </w:r>
      <w:r>
        <w:t xml:space="preserve">, </w:t>
      </w:r>
      <w:r w:rsidRPr="00F55835">
        <w:t>9%. Степень износа активной части основных фондов промышленности достигла 70%</w:t>
      </w:r>
      <w:r>
        <w:t xml:space="preserve">, </w:t>
      </w:r>
      <w:r w:rsidRPr="00F55835">
        <w:t>удельный вес полностью шношеннъгх машин и оборудования превышает 25%.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Негативные характеристики процесса воспроизводства активной части основного капитала отраслей промышленности проявились в период радикальных реформ и были связаны со спадом производства в отечественной экономике и сокращением закупок отечественных машин и оборудования на внутреннем рынке. В настоящее время эти характеристики обусловлены недостаточным обновлением парка машин и оборудования</w:t>
      </w:r>
      <w:r>
        <w:t xml:space="preserve">, </w:t>
      </w:r>
      <w:r w:rsidRPr="00F55835">
        <w:t>их старением и износом в условиях значительного роста производства и закупок. Так</w:t>
      </w:r>
      <w:r>
        <w:t xml:space="preserve">, </w:t>
      </w:r>
      <w:r w:rsidRPr="00F55835">
        <w:t>согласно авторским расчетам</w:t>
      </w:r>
      <w:r>
        <w:t xml:space="preserve">, </w:t>
      </w:r>
      <w:r w:rsidRPr="00F55835">
        <w:t>производство и закупки техники в 1999-2008 гг. возросли почти в 2</w:t>
      </w:r>
      <w:r>
        <w:t xml:space="preserve">, </w:t>
      </w:r>
      <w:r w:rsidRPr="00F55835">
        <w:t xml:space="preserve">5 раза; в </w:t>
      </w:r>
      <w:smartTag w:uri="urn:schemas-microsoft-com:office:smarttags" w:element="metricconverter">
        <w:smartTagPr>
          <w:attr w:name="ProductID" w:val="2008 г"/>
        </w:smartTagPr>
        <w:r w:rsidRPr="00F55835">
          <w:t>2008 г</w:t>
        </w:r>
      </w:smartTag>
      <w:r w:rsidRPr="00F55835">
        <w:t xml:space="preserve">. объем выпуска машин и оборудования составил 48% по сравнению с </w:t>
      </w:r>
      <w:smartTag w:uri="urn:schemas-microsoft-com:office:smarttags" w:element="metricconverter">
        <w:smartTagPr>
          <w:attr w:name="ProductID" w:val="1991 г"/>
        </w:smartTagPr>
        <w:r w:rsidRPr="00F55835">
          <w:t>1991 г</w:t>
        </w:r>
      </w:smartTag>
      <w:r w:rsidRPr="00F55835">
        <w:t xml:space="preserve">. (в неизменных ценах </w:t>
      </w:r>
      <w:smartTag w:uri="urn:schemas-microsoft-com:office:smarttags" w:element="metricconverter">
        <w:smartTagPr>
          <w:attr w:name="ProductID" w:val="1991 г"/>
        </w:smartTagPr>
        <w:r w:rsidRPr="00F55835">
          <w:t>1991 г</w:t>
        </w:r>
      </w:smartTag>
      <w:r w:rsidRPr="00F55835">
        <w:t>.) Однако указанный рост производства и закупок техники произошел после пятикратного их спада</w:t>
      </w:r>
      <w:r>
        <w:t xml:space="preserve">, </w:t>
      </w:r>
      <w:r w:rsidRPr="00F55835">
        <w:t>поэтому современные объемы выпуска машин и оборудования по-прежнему крайне малы для решения задач дальнейшего использования в производственном процессе активной части основного капитала</w:t>
      </w:r>
      <w:r>
        <w:t xml:space="preserve">, </w:t>
      </w:r>
      <w:r w:rsidRPr="00F55835">
        <w:t>а также ее модернизации и ускоренного обновления. Эти задачи актуальны как для добывающих</w:t>
      </w:r>
      <w:r>
        <w:t xml:space="preserve">, </w:t>
      </w:r>
      <w:r w:rsidRPr="00F55835">
        <w:t>так и обрабатывающих отраслей промышленности.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Решение задачи ускоренного обновления парка техники возможно</w:t>
      </w:r>
      <w:r>
        <w:t xml:space="preserve">, </w:t>
      </w:r>
      <w:r w:rsidRPr="00F55835">
        <w:t>прежде всего</w:t>
      </w:r>
      <w:r>
        <w:t xml:space="preserve">, </w:t>
      </w:r>
      <w:r w:rsidRPr="00F55835">
        <w:t>в условиях увеличения объемов производства и закупок отечественных машин и оборудования. Условием решения указанной задачи нередко считают также рост объемов закупок импортной техники. Однако</w:t>
      </w:r>
      <w:r>
        <w:t xml:space="preserve">, </w:t>
      </w:r>
      <w:r w:rsidRPr="00F55835">
        <w:t>согласно авторским оценкам</w:t>
      </w:r>
      <w:r>
        <w:t xml:space="preserve">, </w:t>
      </w:r>
      <w:r w:rsidRPr="00F55835">
        <w:t>для значительного увеличения загрузки производственных мощностей инвестиционного машиностроения</w:t>
      </w:r>
      <w:r>
        <w:t xml:space="preserve">, </w:t>
      </w:r>
      <w:r w:rsidRPr="00F55835">
        <w:t>а также для ускоренного обновления активной части основного капитала отраслей промышленности это условие не обязательно (см. ниже).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 xml:space="preserve">По статистическим данным в инвестиционном машиностроении имеются значительные свободные производственные мощности. Официальная статистика показывает следующий уровень использования производственных мощностей в инвестиционном машиностроении в </w:t>
      </w:r>
      <w:smartTag w:uri="urn:schemas-microsoft-com:office:smarttags" w:element="metricconverter">
        <w:smartTagPr>
          <w:attr w:name="ProductID" w:val="2007 г"/>
        </w:smartTagPr>
        <w:r w:rsidRPr="00F55835">
          <w:t>2007 г</w:t>
        </w:r>
      </w:smartTag>
      <w:r w:rsidRPr="00F55835">
        <w:t>. (%):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9"/>
        <w:gridCol w:w="868"/>
        <w:gridCol w:w="3967"/>
        <w:gridCol w:w="884"/>
      </w:tblGrid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Турбины паровые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19</w:t>
            </w:r>
          </w:p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Кузнечно-прессовые машины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42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Турбины газовые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70</w:t>
            </w:r>
          </w:p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Экскаваторы одноковшовые с ковшом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/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Генераторы к паровым</w:t>
            </w:r>
            <w:r>
              <w:t xml:space="preserve">, </w:t>
            </w:r>
            <w:r w:rsidRPr="00F55835">
              <w:t>газовым и гид-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/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емкостью от 0</w:t>
            </w:r>
            <w:r>
              <w:t xml:space="preserve">, </w:t>
            </w:r>
            <w:r w:rsidRPr="00F55835">
              <w:t>25 до 3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 куб. м"/>
              </w:smartTagPr>
              <w:r w:rsidRPr="00F55835">
                <w:t>2 куб. м</w:t>
              </w:r>
            </w:smartTag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57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равлическим турбинам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66</w:t>
            </w:r>
          </w:p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Бульдозеры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89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Подшипники качения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41</w:t>
            </w:r>
          </w:p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Электродвигатели переменного тока с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/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Краны мостовые электрические (вклю-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/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высотой оси вращения 63-</w:t>
            </w:r>
            <w:smartTag w:uri="urn:schemas-microsoft-com:office:smarttags" w:element="metricconverter">
              <w:smartTagPr>
                <w:attr w:name="ProductID" w:val="355 мм"/>
              </w:smartTagPr>
              <w:r w:rsidRPr="00F55835">
                <w:t>355 мм</w:t>
              </w:r>
            </w:smartTag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53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чая специальные)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11</w:t>
            </w:r>
          </w:p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Электромашины крупные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39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Краны на автомобильном ходу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84</w:t>
            </w:r>
          </w:p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Грузовые автомобили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69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Тракторы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19</w:t>
            </w:r>
          </w:p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Автобусы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85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2038" w:type="pct"/>
            <w:vAlign w:val="center"/>
          </w:tcPr>
          <w:p w:rsidR="007F6F49" w:rsidRPr="00F55835" w:rsidRDefault="007F6F49" w:rsidP="009977BE">
            <w:r w:rsidRPr="00F55835">
              <w:t>Металлорежущие станки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14</w:t>
            </w:r>
          </w:p>
        </w:tc>
        <w:tc>
          <w:tcPr>
            <w:tcW w:w="2023" w:type="pct"/>
            <w:vAlign w:val="center"/>
          </w:tcPr>
          <w:p w:rsidR="007F6F49" w:rsidRPr="00F55835" w:rsidRDefault="007F6F49" w:rsidP="009977BE">
            <w:r w:rsidRPr="00F55835">
              <w:t>Зерноуборочные комбайны</w:t>
            </w:r>
          </w:p>
        </w:tc>
        <w:tc>
          <w:tcPr>
            <w:tcW w:w="431" w:type="pct"/>
            <w:vAlign w:val="center"/>
          </w:tcPr>
          <w:p w:rsidR="007F6F49" w:rsidRPr="00F55835" w:rsidRDefault="007F6F49" w:rsidP="009977BE">
            <w:r w:rsidRPr="00F55835">
              <w:t>41</w:t>
            </w:r>
          </w:p>
        </w:tc>
      </w:tr>
    </w:tbl>
    <w:p w:rsidR="007F6F49" w:rsidRPr="00F55835" w:rsidRDefault="007F6F49" w:rsidP="007F6F49">
      <w:pPr>
        <w:spacing w:before="120"/>
        <w:ind w:firstLine="567"/>
        <w:jc w:val="both"/>
      </w:pPr>
      <w:r w:rsidRPr="00F55835">
        <w:t>В период радикальных реформ экономики было проведено перепрофилирование предприятий для восполнения мощностей</w:t>
      </w:r>
      <w:r>
        <w:t xml:space="preserve">, </w:t>
      </w:r>
      <w:r w:rsidRPr="00F55835">
        <w:t>утерянных при распаде СССР. Поскольку введенные производственные мощности перепрофилированных предприятий оказались меньше</w:t>
      </w:r>
      <w:r>
        <w:t xml:space="preserve">, </w:t>
      </w:r>
      <w:r w:rsidRPr="00F55835">
        <w:t>чем соответствующие «советские» мощности</w:t>
      </w:r>
      <w:r>
        <w:t xml:space="preserve">, </w:t>
      </w:r>
      <w:r w:rsidRPr="00F55835">
        <w:t>средний показатель использования производственных мощностей инвестиционного машиностроения достиг лишь 47-49%. Значительные свободные производственные мощности в инвестиционном машиностроении по-прежнему остаются потенциалом</w:t>
      </w:r>
      <w:r>
        <w:t xml:space="preserve">, </w:t>
      </w:r>
      <w:r w:rsidRPr="00F55835">
        <w:t>который может быть использован для роста выпуска техники и развития промышленности в целом. В приведенном примере это относится к производству турбин паровых</w:t>
      </w:r>
      <w:r>
        <w:t xml:space="preserve">, </w:t>
      </w:r>
      <w:r w:rsidRPr="00F55835">
        <w:t>кранов мостовых электрических (включая специальные)</w:t>
      </w:r>
      <w:r>
        <w:t xml:space="preserve">, </w:t>
      </w:r>
      <w:r w:rsidRPr="00F55835">
        <w:t>металлорежущих станков</w:t>
      </w:r>
      <w:r>
        <w:t xml:space="preserve">, </w:t>
      </w:r>
      <w:r w:rsidRPr="00F55835">
        <w:t>кузнечно-прессовых машин</w:t>
      </w:r>
      <w:r>
        <w:t xml:space="preserve">, </w:t>
      </w:r>
      <w:r w:rsidRPr="00F55835">
        <w:t>электромашин крупных</w:t>
      </w:r>
      <w:r>
        <w:t xml:space="preserve">, </w:t>
      </w:r>
      <w:r w:rsidRPr="00F55835">
        <w:t>подшипников качения.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В сообщениях Росстата отсутствует информация о физическом состоянии свободных производственных мощностей инвестиционного машиностроения и возможности их использования без значительной дополнительной подготовки. Однако учитывая общее неудовлетворительное состояние активной части основного капитала инвестиционного машиностроения</w:t>
      </w:r>
      <w:r>
        <w:t xml:space="preserve">, </w:t>
      </w:r>
      <w:r w:rsidRPr="00F55835">
        <w:t>прежде всего критический средний возраст машин и оборудования</w:t>
      </w:r>
      <w:r>
        <w:t xml:space="preserve">, </w:t>
      </w:r>
      <w:r w:rsidRPr="00F55835">
        <w:t>степень их физического и морального износа</w:t>
      </w:r>
      <w:r>
        <w:t xml:space="preserve">, </w:t>
      </w:r>
      <w:r w:rsidRPr="00F55835">
        <w:t>можно предположить</w:t>
      </w:r>
      <w:r>
        <w:t xml:space="preserve">, </w:t>
      </w:r>
      <w:r w:rsidRPr="00F55835">
        <w:t>что производственный аппарат свободных производственных мощностей инвестиционного машиностроения в целом не лучше действующих. Вместе с тем регулярно публикуемые данные Росстата свидетельствуют и о том</w:t>
      </w:r>
      <w:r>
        <w:t xml:space="preserve">, </w:t>
      </w:r>
      <w:r w:rsidRPr="00F55835">
        <w:t>что в наличии имеются свободные производственные площади (временно занятые или временно сданные в аренду)</w:t>
      </w:r>
      <w:r>
        <w:t xml:space="preserve">, </w:t>
      </w:r>
      <w:r w:rsidRPr="00F55835">
        <w:t>свободное производственное оборудование (временно законсервированное и т. д.)</w:t>
      </w:r>
      <w:r>
        <w:t xml:space="preserve">, </w:t>
      </w:r>
      <w:r w:rsidRPr="00F55835">
        <w:t>и следовательно</w:t>
      </w:r>
      <w:r>
        <w:t xml:space="preserve">, </w:t>
      </w:r>
      <w:r w:rsidRPr="00F55835">
        <w:t>потенциальные условия для увеличения выпуска машиностроительной продукции. Возможно</w:t>
      </w:r>
      <w:r>
        <w:t xml:space="preserve">, </w:t>
      </w:r>
      <w:r w:rsidRPr="00F55835">
        <w:t>что в действительности оценки современного потенциала инвестиционного машиностроения могут быть несколько меньше</w:t>
      </w:r>
      <w:r>
        <w:t xml:space="preserve">, </w:t>
      </w:r>
      <w:r w:rsidRPr="00F55835">
        <w:t>чем соответствующие отраслевые показатели использования производственных мощностей</w:t>
      </w:r>
      <w:r>
        <w:t xml:space="preserve">, </w:t>
      </w:r>
      <w:r w:rsidRPr="00F55835">
        <w:t>но ускоренное обновление парка машин и оборудования в составе производственного аппарата инвестиционного машиностроения</w:t>
      </w:r>
      <w:r>
        <w:t xml:space="preserve">, </w:t>
      </w:r>
      <w:r w:rsidRPr="00F55835">
        <w:t>в том числе свободных производственных мощностей</w:t>
      </w:r>
      <w:r>
        <w:t xml:space="preserve">, </w:t>
      </w:r>
      <w:r w:rsidRPr="00F55835">
        <w:t>создаст условия для их существенного увеличения.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Улучшение использования производственных мощностей инвестиционного машиностроения является наименее капиталоемким способом получения роста его продукции по мере повышения платежеспособного спроса на технику со стороны ее потребителей: объемы необходимых дополнительных капитальных затрат на прирост продукции в этом случае во много раз меньше</w:t>
      </w:r>
      <w:r>
        <w:t xml:space="preserve">, </w:t>
      </w:r>
      <w:r w:rsidRPr="00F55835">
        <w:t>чем капитальные вложения на ввод новых производственных мощностей. Поскольку свободные мощности в инвестиционном машиностроении составляют в среднем половину объема производственных</w:t>
      </w:r>
      <w:r>
        <w:t xml:space="preserve">, </w:t>
      </w:r>
      <w:r w:rsidRPr="00F55835">
        <w:t>то при эффективном их использовании можно практически удвоить производственный выпуск машин и оборудования. Таким образом полная загрузка свободных производственных мощностей в инвестиционном машиностроении дает значительную экономию производственных капитальных вложений в оборудование (а также и строительно-монтажных работ) по сравнению с альтернативным вариантом ввода соответствующих новых мощностей.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Объективная потребность в машинах и оборудовании отечественного производства для замены аналогичных изношенных и устаревших значительно превышает объемы платежеспособного спроса на нее со стороны потребителей. Такое соотношение обусловлено технологической заданностью развития отраслей российской промышленности</w:t>
      </w:r>
      <w:r>
        <w:t xml:space="preserve">, </w:t>
      </w:r>
      <w:r w:rsidRPr="00F55835">
        <w:t>определяемой тем</w:t>
      </w:r>
      <w:r>
        <w:t xml:space="preserve">, </w:t>
      </w:r>
      <w:r w:rsidRPr="00F55835">
        <w:t>что значительная часть парка техники прежде всего основного технологического оборудования</w:t>
      </w:r>
      <w:r>
        <w:t xml:space="preserve">, </w:t>
      </w:r>
      <w:r w:rsidRPr="00F55835">
        <w:t>укомплектована отечественными образцами. Сложившуюся практику могла бы изменить техническая реконструкция отдельных производственных участков в составе производственно-технологических цепочек промышленности (в том числе инвестиционного машиностроения) применительно к использованию отечественного оборудования</w:t>
      </w:r>
      <w:r>
        <w:t xml:space="preserve">, </w:t>
      </w:r>
      <w:r w:rsidRPr="00F55835">
        <w:t>что потребует меньших объемов капиталовложений</w:t>
      </w:r>
      <w:r>
        <w:t xml:space="preserve">, </w:t>
      </w:r>
      <w:r w:rsidRPr="00F55835">
        <w:t>чем альтернативная техническая реконструкция на основе импортной техники.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Наличие в инвестиционном машиностроении свободных производственных мощностей явилось результатом снижения уровня платежеспособного спроса со стороны потребителей продукции машиностроения</w:t>
      </w:r>
      <w:r>
        <w:t xml:space="preserve">, </w:t>
      </w:r>
      <w:r w:rsidRPr="00F55835">
        <w:t>уровня их платежеспособности</w:t>
      </w:r>
      <w:r>
        <w:t xml:space="preserve">, </w:t>
      </w:r>
      <w:r w:rsidRPr="00F55835">
        <w:t>а также экономически необоснованного удорожания машин и оборудования. При прочих равных условиях уровень платежеспособного спроса со стороны потребителей машин и оборудования связан с ростом цен на последние. В условиях высоких цен на машиностроительную продукцию снижается не только уровень платежеспособного спроса со стороны потребителей машин и оборудования</w:t>
      </w:r>
      <w:r>
        <w:t xml:space="preserve">, </w:t>
      </w:r>
      <w:r w:rsidRPr="00F55835">
        <w:t>но и их уровень платежеспособности</w:t>
      </w:r>
      <w:r>
        <w:t xml:space="preserve">, </w:t>
      </w:r>
      <w:r w:rsidRPr="00F55835">
        <w:t>поскольку возрастают их расходы и объективно ограничиваются возможности приобретения техники. Если не рассматривать</w:t>
      </w:r>
      <w:r>
        <w:t xml:space="preserve">, </w:t>
      </w:r>
      <w:r w:rsidRPr="00F55835">
        <w:t>с одной стороны</w:t>
      </w:r>
      <w:r>
        <w:t xml:space="preserve">, </w:t>
      </w:r>
      <w:r w:rsidRPr="00F55835">
        <w:t>самые общие факторы</w:t>
      </w:r>
      <w:r>
        <w:t xml:space="preserve">, </w:t>
      </w:r>
      <w:r w:rsidRPr="00F55835">
        <w:t>как</w:t>
      </w:r>
      <w:r>
        <w:t xml:space="preserve">, </w:t>
      </w:r>
      <w:r w:rsidRPr="00F55835">
        <w:t>например</w:t>
      </w:r>
      <w:r>
        <w:t xml:space="preserve">, </w:t>
      </w:r>
      <w:r w:rsidRPr="00F55835">
        <w:t>вывоз капиталов и снижение эффективности управления экономикой</w:t>
      </w:r>
      <w:r>
        <w:t xml:space="preserve">, </w:t>
      </w:r>
      <w:r w:rsidRPr="00F55835">
        <w:t>а с другой</w:t>
      </w:r>
      <w:r>
        <w:t xml:space="preserve"> - </w:t>
      </w:r>
      <w:r w:rsidRPr="00F55835">
        <w:t>перераспределительную политику органов государственной власти</w:t>
      </w:r>
      <w:r>
        <w:t xml:space="preserve">, </w:t>
      </w:r>
      <w:r w:rsidRPr="00F55835">
        <w:t>то в более узких рамках исследования экономически необоснованное удорожание машин и оборудования становится основной причиной снижения уровня как платежеспособного спроса со стороны потребителей продукции машиностроения</w:t>
      </w:r>
      <w:r>
        <w:t xml:space="preserve">, </w:t>
      </w:r>
      <w:r w:rsidRPr="00F55835">
        <w:t>так и их платежеспособности.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Как известно</w:t>
      </w:r>
      <w:r>
        <w:t xml:space="preserve">, </w:t>
      </w:r>
      <w:r w:rsidRPr="00F55835">
        <w:t>экономически необоснованное удорожание машин и оборудования характеризуется дополнительным ростом стоимости в расчете на единицу их паспортной производительности</w:t>
      </w:r>
      <w:r>
        <w:t xml:space="preserve">, </w:t>
      </w:r>
      <w:r w:rsidRPr="00F55835">
        <w:t>не связанным с улучшением потребительских свойств продукции и получением дополнительного эффекта их потребителем. Оно прослеживается в явной форме в условиях превышения динамики цен на продукцию машиностроения над динамикой цен на продукцию промышленности в целом</w:t>
      </w:r>
      <w:r>
        <w:t xml:space="preserve">, </w:t>
      </w:r>
      <w:r w:rsidRPr="00F55835">
        <w:t>а в скрытой</w:t>
      </w:r>
      <w:r>
        <w:t xml:space="preserve"> - </w:t>
      </w:r>
      <w:r w:rsidRPr="00F55835">
        <w:t>в условиях роста цен на новую продукцию машиностроения. Явное экономически необоснованное удорожание машин и оборудования определяется соотношением величины удорожания и величины расходов по важнейшим видам затрат на производство продукции машиностроения по данным межотраслевого баланса. Исчисление скрытого экономически необоснованного удорожания машин и оборудования основывается на сопоставлении величины удорожания каждого вида техники и дополнительного эффекта ее использования потребителем</w:t>
      </w:r>
      <w:r>
        <w:t xml:space="preserve">, </w:t>
      </w:r>
      <w:r w:rsidRPr="00F55835">
        <w:t>выделении соответствующих видов техники</w:t>
      </w:r>
      <w:r>
        <w:t xml:space="preserve">, </w:t>
      </w:r>
      <w:r w:rsidRPr="00F55835">
        <w:t>определении общего показателя их удорожания и удельного веса.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В дореформенный период экономически необоснованное удорожание машин и оборудования происходило преимущественно в скрытой форме. В период радикальных реформ при сохранении скрытой формы наличествовало экономически необоснованное удорожание техники в явной форме в результате роста цен и тарифов на продукцию и услуги электроэнергетики</w:t>
      </w:r>
      <w:r>
        <w:t xml:space="preserve">, </w:t>
      </w:r>
      <w:r w:rsidRPr="00F55835">
        <w:t>топливной</w:t>
      </w:r>
      <w:r>
        <w:t xml:space="preserve">, </w:t>
      </w:r>
      <w:r w:rsidRPr="00F55835">
        <w:t>химической и нефтехимической промышленности</w:t>
      </w:r>
      <w:r>
        <w:t xml:space="preserve">, </w:t>
      </w:r>
      <w:r w:rsidRPr="00F55835">
        <w:t>черной и цветной металлургии</w:t>
      </w:r>
      <w:r>
        <w:t xml:space="preserve">, </w:t>
      </w:r>
      <w:r w:rsidRPr="00F55835">
        <w:t>грузового транспорта и связи</w:t>
      </w:r>
      <w:r>
        <w:t xml:space="preserve">, </w:t>
      </w:r>
      <w:r w:rsidRPr="00F55835">
        <w:t>сферы обращения</w:t>
      </w:r>
      <w:r>
        <w:t xml:space="preserve">, </w:t>
      </w:r>
      <w:r w:rsidRPr="00F55835">
        <w:t>включая коммерческую деятельность. В настоящее время экономически необоснованное удорожание машин и оборудования присутствует в явной форме</w:t>
      </w:r>
      <w:r>
        <w:t xml:space="preserve">, </w:t>
      </w:r>
      <w:r w:rsidRPr="00F55835">
        <w:t>а в скрытой форме оно</w:t>
      </w:r>
      <w:r>
        <w:t xml:space="preserve">, </w:t>
      </w:r>
      <w:r w:rsidRPr="00F55835">
        <w:t>постепенно сокращаясь</w:t>
      </w:r>
      <w:r>
        <w:t xml:space="preserve">, </w:t>
      </w:r>
      <w:r w:rsidRPr="00F55835">
        <w:t>сошло на нет.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Рассмотрим в общих чертах динамику экономически необоснованного удорожания техники и ее производства и закупок. Согласно расчетам</w:t>
      </w:r>
      <w:r>
        <w:t xml:space="preserve">, </w:t>
      </w:r>
      <w:r w:rsidRPr="00F55835">
        <w:t>в дореформенный период (1965-1991 гг.) общее экономически необоснованное удорожание машин и оборудования постоянно увеличивалось</w:t>
      </w:r>
      <w:r>
        <w:t xml:space="preserve">, </w:t>
      </w:r>
      <w:r w:rsidRPr="00F55835">
        <w:t xml:space="preserve">его индекс составил в </w:t>
      </w:r>
      <w:smartTag w:uri="urn:schemas-microsoft-com:office:smarttags" w:element="metricconverter">
        <w:smartTagPr>
          <w:attr w:name="ProductID" w:val="1991 г"/>
        </w:smartTagPr>
        <w:r w:rsidRPr="00F55835">
          <w:t>1991 г</w:t>
        </w:r>
      </w:smartTag>
      <w:r w:rsidRPr="00F55835">
        <w:t>. 3</w:t>
      </w:r>
      <w:r>
        <w:t xml:space="preserve">, </w:t>
      </w:r>
      <w:r w:rsidRPr="00F55835">
        <w:t xml:space="preserve">94 по сравнению с </w:t>
      </w:r>
      <w:smartTag w:uri="urn:schemas-microsoft-com:office:smarttags" w:element="metricconverter">
        <w:smartTagPr>
          <w:attr w:name="ProductID" w:val="1965 г"/>
        </w:smartTagPr>
        <w:r w:rsidRPr="00F55835">
          <w:t>1965 г</w:t>
        </w:r>
      </w:smartTag>
      <w:r w:rsidRPr="00F55835">
        <w:t>.</w:t>
      </w:r>
      <w:r>
        <w:t xml:space="preserve">, </w:t>
      </w:r>
      <w:r w:rsidRPr="00F55835">
        <w:t>(3</w:t>
      </w:r>
      <w:r>
        <w:t xml:space="preserve">, </w:t>
      </w:r>
      <w:r w:rsidRPr="00F55835">
        <w:t>44 в скрытой форме) (таблица). Период 1965-1986 гг.</w:t>
      </w:r>
      <w:r>
        <w:t xml:space="preserve">, </w:t>
      </w:r>
      <w:r w:rsidRPr="00F55835">
        <w:t>характеризуется постепенным снижением показателей прироста производства и закупок техники. В 1987-1990 гг. наблюдалось снижение объемов производства и закупок машин и оборудования</w:t>
      </w:r>
      <w:r>
        <w:t xml:space="preserve">, </w:t>
      </w:r>
      <w:r w:rsidRPr="00F55835">
        <w:t xml:space="preserve">которое в </w:t>
      </w:r>
      <w:smartTag w:uri="urn:schemas-microsoft-com:office:smarttags" w:element="metricconverter">
        <w:smartTagPr>
          <w:attr w:name="ProductID" w:val="1990 г"/>
        </w:smartTagPr>
        <w:r w:rsidRPr="00F55835">
          <w:t>1990 г</w:t>
        </w:r>
      </w:smartTag>
      <w:r w:rsidRPr="00F55835">
        <w:t>. составило 0</w:t>
      </w:r>
      <w:r>
        <w:t xml:space="preserve">, </w:t>
      </w:r>
      <w:r w:rsidRPr="00F55835">
        <w:t xml:space="preserve">88 по сравнению с </w:t>
      </w:r>
      <w:smartTag w:uri="urn:schemas-microsoft-com:office:smarttags" w:element="metricconverter">
        <w:smartTagPr>
          <w:attr w:name="ProductID" w:val="1985 г"/>
        </w:smartTagPr>
        <w:r w:rsidRPr="00F55835">
          <w:t>1985 г</w:t>
        </w:r>
      </w:smartTag>
      <w:r w:rsidRPr="00F55835">
        <w:t>. В 1990-1991 гг. произошло примерно двукратное уменьшение объема производства и закупок техники</w:t>
      </w:r>
      <w:r>
        <w:t xml:space="preserve">, </w:t>
      </w:r>
      <w:r w:rsidRPr="00F55835">
        <w:t>которое почти совпало с обратной величиной индекса роста экономически необоснованного удорожания машин и оборудования.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В период радикальных реформ экономики (1991-1997 гг.) происходила следующая трансформация форм экономически необоснованного удорожания техники: в результате спада производства и сокращения закупок техники скрытое удорожание техники снижалось (в условиях изменения номенклатуры и структуры выпуска продукции</w:t>
      </w:r>
      <w:r>
        <w:t xml:space="preserve">, </w:t>
      </w:r>
      <w:r w:rsidRPr="00F55835">
        <w:t>структуры затрат на нее)</w:t>
      </w:r>
      <w:r>
        <w:t xml:space="preserve">, </w:t>
      </w:r>
      <w:r w:rsidRPr="00F55835">
        <w:t xml:space="preserve">а явное удорожание машин и оборудования в результате роста цен и тарифов на продукцию и услуги указанных выше отраслей экономики и промышленности почти в такой же мере возрастало. В </w:t>
      </w:r>
      <w:smartTag w:uri="urn:schemas-microsoft-com:office:smarttags" w:element="metricconverter">
        <w:smartTagPr>
          <w:attr w:name="ProductID" w:val="1997 г"/>
        </w:smartTagPr>
        <w:r w:rsidRPr="00F55835">
          <w:t>1997 г</w:t>
        </w:r>
      </w:smartTag>
      <w:r w:rsidRPr="00F55835">
        <w:t>. индекс общего экономически необоснованного удорожания техники составил 3</w:t>
      </w:r>
      <w:r>
        <w:t xml:space="preserve">, </w:t>
      </w:r>
      <w:r w:rsidRPr="00F55835">
        <w:t xml:space="preserve">19 по сравнению с </w:t>
      </w:r>
      <w:smartTag w:uri="urn:schemas-microsoft-com:office:smarttags" w:element="metricconverter">
        <w:smartTagPr>
          <w:attr w:name="ProductID" w:val="1965 г"/>
        </w:smartTagPr>
        <w:r w:rsidRPr="00F55835">
          <w:t>1965 г</w:t>
        </w:r>
      </w:smartTag>
      <w:r w:rsidRPr="00F55835">
        <w:t>.</w:t>
      </w:r>
      <w:r>
        <w:t xml:space="preserve">, </w:t>
      </w:r>
      <w:r w:rsidRPr="00F55835">
        <w:t>при этом скрытого</w:t>
      </w:r>
      <w:r>
        <w:t xml:space="preserve"> - </w:t>
      </w:r>
      <w:r w:rsidRPr="00F55835">
        <w:t>1</w:t>
      </w:r>
      <w:r>
        <w:t xml:space="preserve">, </w:t>
      </w:r>
      <w:r w:rsidRPr="00F55835">
        <w:t>67</w:t>
      </w:r>
      <w:r>
        <w:t xml:space="preserve">, </w:t>
      </w:r>
      <w:r w:rsidRPr="00F55835">
        <w:t>явного</w:t>
      </w:r>
      <w:r>
        <w:t xml:space="preserve"> - </w:t>
      </w:r>
      <w:r w:rsidRPr="00F55835">
        <w:t>1</w:t>
      </w:r>
      <w:r>
        <w:t xml:space="preserve">, </w:t>
      </w:r>
      <w:r w:rsidRPr="00F55835">
        <w:t>92. Спад производства и закупок машин и оборудования в этот период был примерно пятикратным.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Таблица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Сравнительная динамика экономически необоснованного удорожания машин и оборудования и их производства и закупок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2"/>
        <w:gridCol w:w="1678"/>
        <w:gridCol w:w="1607"/>
        <w:gridCol w:w="1978"/>
        <w:gridCol w:w="1903"/>
      </w:tblGrid>
      <w:tr w:rsidR="007F6F49" w:rsidRPr="00F55835" w:rsidTr="009977BE">
        <w:trPr>
          <w:tblCellSpacing w:w="15" w:type="dxa"/>
        </w:trPr>
        <w:tc>
          <w:tcPr>
            <w:tcW w:w="131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Сравниваемый период (годы)</w:t>
            </w:r>
          </w:p>
        </w:tc>
        <w:tc>
          <w:tcPr>
            <w:tcW w:w="26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Индекс экономически необоснованного удорожания техники (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F55835">
                <w:t>1965 г</w:t>
              </w:r>
            </w:smartTag>
            <w:r w:rsidRPr="00F55835">
              <w:t>.=1)</w:t>
            </w:r>
          </w:p>
        </w:tc>
        <w:tc>
          <w:tcPr>
            <w:tcW w:w="9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Индекс производства и закупок техники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/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общего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явного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скрытого</w:t>
            </w:r>
          </w:p>
        </w:tc>
        <w:tc>
          <w:tcPr>
            <w:tcW w:w="9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/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1965-1990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83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15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60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0</w:t>
            </w:r>
            <w:r>
              <w:t xml:space="preserve">, </w:t>
            </w:r>
            <w:r w:rsidRPr="00F55835">
              <w:t>88*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1990-1991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2</w:t>
            </w:r>
            <w:r>
              <w:t xml:space="preserve">, </w:t>
            </w:r>
            <w:r w:rsidRPr="00F55835">
              <w:t>15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2</w:t>
            </w:r>
            <w:r>
              <w:t xml:space="preserve">, </w:t>
            </w:r>
            <w:r w:rsidRPr="00F55835">
              <w:t>15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0</w:t>
            </w:r>
            <w:r>
              <w:t xml:space="preserve">, </w:t>
            </w:r>
            <w:r w:rsidRPr="00F55835">
              <w:t>51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1965-1991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3</w:t>
            </w:r>
            <w:r>
              <w:t xml:space="preserve">, </w:t>
            </w:r>
            <w:r w:rsidRPr="00F55835">
              <w:t>94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15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3</w:t>
            </w:r>
            <w:r>
              <w:t xml:space="preserve">, </w:t>
            </w:r>
            <w:r w:rsidRPr="00F55835">
              <w:t>44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/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1991-1997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0</w:t>
            </w:r>
            <w:r>
              <w:t xml:space="preserve">, </w:t>
            </w:r>
            <w:r w:rsidRPr="00F55835">
              <w:t>81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67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0</w:t>
            </w:r>
            <w:r>
              <w:t xml:space="preserve">, </w:t>
            </w:r>
            <w:r w:rsidRPr="00F55835">
              <w:t>49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0</w:t>
            </w:r>
            <w:r>
              <w:t xml:space="preserve">, </w:t>
            </w:r>
            <w:r w:rsidRPr="00F55835">
              <w:t>20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1965-1997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3</w:t>
            </w:r>
            <w:r>
              <w:t xml:space="preserve">, </w:t>
            </w:r>
            <w:r w:rsidRPr="00F55835">
              <w:t>19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92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67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/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1997-2008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0</w:t>
            </w:r>
            <w:r>
              <w:t xml:space="preserve">, </w:t>
            </w:r>
            <w:r w:rsidRPr="00F55835">
              <w:t>60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0</w:t>
            </w:r>
            <w:r>
              <w:t xml:space="preserve">, </w:t>
            </w:r>
            <w:r w:rsidRPr="00F55835">
              <w:t>29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2</w:t>
            </w:r>
            <w:r>
              <w:t xml:space="preserve">, </w:t>
            </w:r>
            <w:r w:rsidRPr="00F55835">
              <w:t>50</w:t>
            </w:r>
          </w:p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1965-2008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93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92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1</w:t>
            </w:r>
            <w:r>
              <w:t xml:space="preserve">, </w:t>
            </w:r>
            <w:r w:rsidRPr="00F55835">
              <w:t>00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/>
        </w:tc>
      </w:tr>
      <w:tr w:rsidR="007F6F49" w:rsidRPr="00F55835" w:rsidTr="009977BE">
        <w:trPr>
          <w:tblCellSpacing w:w="15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 xml:space="preserve">* Расчет к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55835">
                <w:t>1985 г</w:t>
              </w:r>
            </w:smartTag>
            <w:r w:rsidRPr="00F55835">
              <w:t>.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>
            <w:r w:rsidRPr="00F55835">
              <w:t>-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/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49" w:rsidRPr="00F55835" w:rsidRDefault="007F6F49" w:rsidP="009977BE"/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6F49" w:rsidRPr="00F55835" w:rsidRDefault="007F6F49" w:rsidP="009977BE"/>
        </w:tc>
      </w:tr>
    </w:tbl>
    <w:p w:rsidR="007F6F49" w:rsidRPr="00F55835" w:rsidRDefault="007F6F49" w:rsidP="007F6F49">
      <w:pPr>
        <w:spacing w:before="120"/>
        <w:ind w:firstLine="567"/>
        <w:jc w:val="both"/>
      </w:pPr>
      <w:r w:rsidRPr="00F55835">
        <w:t>В период 1997-2008 гг. скрытое экономически необоснованное удорожание техники в результате дополнительного уменьшения затрат на производство машиностроительной продукции (нередко путем упрощения и примитивизации или снижения качества отделки изделия на производственно-технологических участках) практически прекратилось</w:t>
      </w:r>
      <w:r>
        <w:t xml:space="preserve">, </w:t>
      </w:r>
      <w:r w:rsidRPr="00F55835">
        <w:t>а явное удорожание машин и оборудования сохранилось практически на прежнем уровне или даже немного увеличилось. Таким образом</w:t>
      </w:r>
      <w:r>
        <w:t xml:space="preserve">, </w:t>
      </w:r>
      <w:r w:rsidRPr="00F55835">
        <w:t>индекс общего и явного экономически необоснованного удорожания техники оказался равным 1</w:t>
      </w:r>
      <w:r>
        <w:t xml:space="preserve">, </w:t>
      </w:r>
      <w:r w:rsidRPr="00F55835">
        <w:t>92 по сравнению с 0</w:t>
      </w:r>
      <w:r>
        <w:t xml:space="preserve">, </w:t>
      </w:r>
      <w:r w:rsidRPr="00F55835">
        <w:t xml:space="preserve">88 в </w:t>
      </w:r>
      <w:smartTag w:uri="urn:schemas-microsoft-com:office:smarttags" w:element="metricconverter">
        <w:smartTagPr>
          <w:attr w:name="ProductID" w:val="1965 г"/>
        </w:smartTagPr>
        <w:r w:rsidRPr="00F55835">
          <w:t>1965 г</w:t>
        </w:r>
      </w:smartTag>
      <w:r w:rsidRPr="00F55835">
        <w:t>. В этот период рост производства и закупок машин и оборудования увеличился в 2</w:t>
      </w:r>
      <w:r>
        <w:t xml:space="preserve">, </w:t>
      </w:r>
      <w:r w:rsidRPr="00F55835">
        <w:t>5 раза.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Таким образом</w:t>
      </w:r>
      <w:r>
        <w:t xml:space="preserve">, </w:t>
      </w:r>
      <w:r w:rsidRPr="00F55835">
        <w:t>можно сделать вывод</w:t>
      </w:r>
      <w:r>
        <w:t xml:space="preserve">, </w:t>
      </w:r>
      <w:r w:rsidRPr="00F55835">
        <w:t>что в рассматриваемый период наблюдалось</w:t>
      </w:r>
      <w:r>
        <w:t xml:space="preserve">, </w:t>
      </w:r>
      <w:r w:rsidRPr="00F55835">
        <w:t>с одной стороны</w:t>
      </w:r>
      <w:r>
        <w:t xml:space="preserve">, </w:t>
      </w:r>
      <w:r w:rsidRPr="00F55835">
        <w:t>повышение уровня экономически необоснованного удорожания техники</w:t>
      </w:r>
      <w:r>
        <w:t xml:space="preserve">, </w:t>
      </w:r>
      <w:r w:rsidRPr="00F55835">
        <w:t>определившее снижение уровня платежеспособного спроса на нее</w:t>
      </w:r>
      <w:r>
        <w:t xml:space="preserve">, </w:t>
      </w:r>
      <w:r w:rsidRPr="00F55835">
        <w:t>уровня платежеспособности ее потребителей и соответственно уменьшение объемов производства и закупок техники</w:t>
      </w:r>
      <w:r>
        <w:t xml:space="preserve">, </w:t>
      </w:r>
      <w:r w:rsidRPr="00F55835">
        <w:t>а с другой</w:t>
      </w:r>
      <w:r>
        <w:t xml:space="preserve"> - </w:t>
      </w:r>
      <w:r w:rsidRPr="00F55835">
        <w:t>снижение уровня экономически необоснованного удорожания машин и оборудования</w:t>
      </w:r>
      <w:r>
        <w:t xml:space="preserve">, </w:t>
      </w:r>
      <w:r w:rsidRPr="00F55835">
        <w:t>способствовавшее повышению уровня платежеспособного спроса на них</w:t>
      </w:r>
      <w:r>
        <w:t xml:space="preserve">, </w:t>
      </w:r>
      <w:r w:rsidRPr="00F55835">
        <w:t>уровня платежеспособности их потребителей и увеличению объемов их производства и закупок. В перспективный период снижение уровня экономически необоснованного удорожания техники возможно лишь в результате уменьшения ее явной компоненты</w:t>
      </w:r>
      <w:r>
        <w:t xml:space="preserve">, </w:t>
      </w:r>
      <w:r w:rsidRPr="00F55835">
        <w:t>которая в определенном смысле является внешней для машиностроительного производства. В условиях сохранения влияния этого внешнего фактора инвестиционное машиностроение должно таким образом изменить производственный процесс и используемые технологии</w:t>
      </w:r>
      <w:r>
        <w:t xml:space="preserve">, </w:t>
      </w:r>
      <w:r w:rsidRPr="00F55835">
        <w:t>чтобы производимая продукция была в среднем дешевле примерно в 2 раза в расчете на паспортную производительность техники. Во многих случаях это возможно в условиях значительного (для определенных позиций иногда в десятки раз) роста паспортной производительности машин и оборудования.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Таким образом</w:t>
      </w:r>
      <w:r>
        <w:t xml:space="preserve">, </w:t>
      </w:r>
      <w:r w:rsidRPr="00F55835">
        <w:t>первоприоритетным в инвестиционной деятельности должно стать само инвестиционное машиностроение</w:t>
      </w:r>
      <w:r>
        <w:t xml:space="preserve">, </w:t>
      </w:r>
      <w:r w:rsidRPr="00F55835">
        <w:t>его производственно-технологическая база</w:t>
      </w:r>
      <w:r>
        <w:t xml:space="preserve">, </w:t>
      </w:r>
      <w:r w:rsidRPr="00F55835">
        <w:t>выпуск техники высокого качества и с обусловленными производственными издержками. Инвестиционное машиностроение способно ускорить обновление активной части основного капитала отраслей промышленности на основе снижения уровня стоимости производимой техники и повышения уровня платежеспособного спроса на нее и уровня платежеспособности ее потребителей.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По нашему мнению</w:t>
      </w:r>
      <w:r>
        <w:t xml:space="preserve">, </w:t>
      </w:r>
      <w:r w:rsidRPr="00F55835">
        <w:t>активная и целенаправленная перераспределительная политика в области доходов со стороны государства способна создать эффективную экономику воспроизводства активной части основного капитала промышленности. Такая политика позволила бы либо удешевить машиностроительную продукцию и тем самым повысить уровень платежеспособного спроса на технику</w:t>
      </w:r>
      <w:r>
        <w:t xml:space="preserve">, </w:t>
      </w:r>
      <w:r w:rsidRPr="00F55835">
        <w:t>либо поднять уровень платежеспособности ее потребителей</w:t>
      </w:r>
      <w:r>
        <w:t xml:space="preserve">, </w:t>
      </w:r>
      <w:r w:rsidRPr="00F55835">
        <w:t>что соответственно повысит уровень платежеспособного спроса на машины и оборудование. В результате для производителей техники возникнет возможность увеличить ее выпуск</w:t>
      </w:r>
      <w:r>
        <w:t xml:space="preserve">, </w:t>
      </w:r>
      <w:r w:rsidRPr="00F55835">
        <w:t>а для потребителей машин и оборудования</w:t>
      </w:r>
      <w:r>
        <w:t xml:space="preserve"> - </w:t>
      </w:r>
      <w:r w:rsidRPr="00F55835">
        <w:t>закупить произведенную продукцию для модернизации и ускоренного обновления активной части основного капитала промышленности. Кроме того</w:t>
      </w:r>
      <w:r>
        <w:t xml:space="preserve">, </w:t>
      </w:r>
      <w:r w:rsidRPr="00F55835">
        <w:t>указанная перераспределительная политика должна учитывать структуру и эффективность целевых затрат на инновационное совершенствование производимой техники в инвестиционном машиностроении.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Перераспределительная политика в области доходов возможна в двух формах: ценовой</w:t>
      </w:r>
      <w:r>
        <w:t xml:space="preserve">, </w:t>
      </w:r>
      <w:r w:rsidRPr="00F55835">
        <w:t>как устранение завышенных цен на продукцию и услуги в результате конкурентного выравнивания рентабельности производственной деятельности</w:t>
      </w:r>
      <w:r>
        <w:t xml:space="preserve">, </w:t>
      </w:r>
      <w:r w:rsidRPr="00F55835">
        <w:t>и прямого адресного регулирования посредством выделения дотаций и кредитов (в том числе долгосрочных и льготных). Основной причиной сохранения завышенных цен па продукцию и услуги указанных выше отраслей экономики и промышленности является</w:t>
      </w:r>
      <w:r>
        <w:t xml:space="preserve">, </w:t>
      </w:r>
      <w:r w:rsidRPr="00F55835">
        <w:t>по-видимому</w:t>
      </w:r>
      <w:r>
        <w:t xml:space="preserve">, </w:t>
      </w:r>
      <w:r w:rsidRPr="00F55835">
        <w:t>большая собираемость налогов с указанных отраслей</w:t>
      </w:r>
      <w:r>
        <w:t xml:space="preserve">, </w:t>
      </w:r>
      <w:r w:rsidRPr="00F55835">
        <w:t>а рост цен и тарифов на продукцию и услуги этих отраслей позволяет единовременно увеличить доходы государственного бюджета в части сбора налогов. В этой связи необходимо отметить</w:t>
      </w:r>
      <w:r>
        <w:t xml:space="preserve">, </w:t>
      </w:r>
      <w:r w:rsidRPr="00F55835">
        <w:t>что утрата активной части основного капитала промышленности</w:t>
      </w:r>
      <w:r>
        <w:t xml:space="preserve"> - </w:t>
      </w:r>
      <w:r w:rsidRPr="00F55835">
        <w:t>невосполнимая потеря для экономики страны. Сохранение существующей ценовой практики неизбежно предполагает использование в качестве крайне необходимого дополнения к ней активной перераспределительной политики в области доходов</w:t>
      </w:r>
      <w:r>
        <w:t xml:space="preserve">, </w:t>
      </w:r>
      <w:r w:rsidRPr="00F55835">
        <w:t>проводимой государственными органами власти.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Дотации и льготные кредиты могут выделяться как потребителям машин и оборудования</w:t>
      </w:r>
      <w:r>
        <w:t xml:space="preserve">, </w:t>
      </w:r>
      <w:r w:rsidRPr="00F55835">
        <w:t>так и их производителям. В первом случае происходит повышение уровня платежеспособного спроса со стороны потребителей техники</w:t>
      </w:r>
      <w:r>
        <w:t xml:space="preserve">, </w:t>
      </w:r>
      <w:r w:rsidRPr="00F55835">
        <w:t>а также уровня их платежеспособности. В этой ситуации подразумевается строго определенное целевое использование потребителями техники выделенных им финансовых средств. В соответствии с объемами выделенных им финансовых средств потребители техники осуществляют определенные закупки машин и оборудования</w:t>
      </w:r>
      <w:r>
        <w:t xml:space="preserve">, </w:t>
      </w:r>
      <w:r w:rsidRPr="00F55835">
        <w:t>которые используют для обновления активной части основного капитала своего предприятия. Как правило</w:t>
      </w:r>
      <w:r>
        <w:t xml:space="preserve">, </w:t>
      </w:r>
      <w:r w:rsidRPr="00F55835">
        <w:t>закупки осуществляются у заранее определенного производителя техники по существующим на нее ценам. Во втором случае наблюдается снижение уровня цен на производимую технику и соответственно повышение уровня платежеспособного спроса со стороны потребителей техники</w:t>
      </w:r>
      <w:r>
        <w:t xml:space="preserve">, </w:t>
      </w:r>
      <w:r w:rsidRPr="00F55835">
        <w:t>а также уровня их платежеспособности. В этой ситуации финансовые средства выделяются производителю техники для компенсации определенной части затрат на производство определенных либо позиций</w:t>
      </w:r>
      <w:r>
        <w:t xml:space="preserve">, </w:t>
      </w:r>
      <w:r w:rsidRPr="00F55835">
        <w:t>либо объемов машин и оборудования для конкретных потребителей. Тем самым потребители определенных позиций машин и оборудования или конкретные покупатели получают дополнительный стимул к обновлению активной части основного капитала своего предприятия.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Результатом выделения дотаций и льготных кредитов должно стать увеличение объемов производства продукции инвестиционного машиностроения</w:t>
      </w:r>
      <w:r>
        <w:t xml:space="preserve">, </w:t>
      </w:r>
      <w:r w:rsidRPr="00F55835">
        <w:t>а также дополнительное обновление активной части основного капитала отраслей промышленности. При этом формы выделения финансовых средств могут определяться конкретными обстоятельствами</w:t>
      </w:r>
      <w:r>
        <w:t xml:space="preserve">, </w:t>
      </w:r>
      <w:r w:rsidRPr="00F55835">
        <w:t>например</w:t>
      </w:r>
      <w:r>
        <w:t xml:space="preserve">, </w:t>
      </w:r>
      <w:r w:rsidRPr="00F55835">
        <w:t>транспортной составляющей в стоимости закупки техники</w:t>
      </w:r>
      <w:r>
        <w:t xml:space="preserve">, </w:t>
      </w:r>
      <w:r w:rsidRPr="00F55835">
        <w:t>сроками изготовления необходимой продукции</w:t>
      </w:r>
      <w:r>
        <w:t xml:space="preserve">, </w:t>
      </w:r>
      <w:r w:rsidRPr="00F55835">
        <w:t>финансовым положением производителя машин и оборудования и др. Выделение дотаций и льготных кредитов органами государственной власти должно производиться в соответствии с заключенными соглашениями</w:t>
      </w:r>
      <w:r>
        <w:t xml:space="preserve">, </w:t>
      </w:r>
      <w:r w:rsidRPr="00F55835">
        <w:t>которые должны предусматривать определенные санкции в случае их невыполнения.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Вместе с тем при выделении дотаций и льготных кредитов должны учитываться направления и результаты финансирования инновационной деятельности</w:t>
      </w:r>
      <w:r>
        <w:t xml:space="preserve">, </w:t>
      </w:r>
      <w:r w:rsidRPr="00F55835">
        <w:t>нацеленной на совершенствование производимой техники</w:t>
      </w:r>
      <w:r>
        <w:t xml:space="preserve">, </w:t>
      </w:r>
      <w:r w:rsidRPr="00F55835">
        <w:t>улучшение соотношения «цена-качество» и стимулирование тем самым дополнительного спроса на улучшенную машиностроительную продукцию. В этом случае необходимо определить этапы и сроки совершенствования техники</w:t>
      </w:r>
      <w:r>
        <w:t xml:space="preserve">, </w:t>
      </w:r>
      <w:r w:rsidRPr="00F55835">
        <w:t>возможности кооперации с зарубежными производителями машин и оборудования</w:t>
      </w:r>
      <w:r>
        <w:t xml:space="preserve">, </w:t>
      </w:r>
      <w:r w:rsidRPr="00F55835">
        <w:t>их опыта по удешевлению производимой продукции. В результате инновационной деятельности в течение определенного периода времени как машиностроительное производство</w:t>
      </w:r>
      <w:r>
        <w:t xml:space="preserve">, </w:t>
      </w:r>
      <w:r w:rsidRPr="00F55835">
        <w:t>так и производимая техника должны быть «вписаны» в современные ценовые условия</w:t>
      </w:r>
      <w:r>
        <w:t xml:space="preserve">, </w:t>
      </w:r>
      <w:r w:rsidRPr="00F55835">
        <w:t>т.е. обладать меньшими удельными характеристиками расхода сырья</w:t>
      </w:r>
      <w:r>
        <w:t xml:space="preserve">, </w:t>
      </w:r>
      <w:r w:rsidRPr="00F55835">
        <w:t>энергии</w:t>
      </w:r>
      <w:r>
        <w:t xml:space="preserve">, </w:t>
      </w:r>
      <w:r w:rsidRPr="00F55835">
        <w:t>топлива</w:t>
      </w:r>
      <w:r>
        <w:t xml:space="preserve">, </w:t>
      </w:r>
      <w:r w:rsidRPr="00F55835">
        <w:t>а также стоимости в расчете на паспортную производительность машин и оборудования.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Одним из важных направлений инвестирования является машиностроение</w:t>
      </w:r>
      <w:r>
        <w:t xml:space="preserve">, </w:t>
      </w:r>
      <w:r w:rsidRPr="00F55835">
        <w:t>более конкретно</w:t>
      </w:r>
      <w:r>
        <w:t xml:space="preserve"> - </w:t>
      </w:r>
      <w:r w:rsidRPr="00F55835">
        <w:t>основное технологическое оборудование отрасли. Оно представлено двумя-пятью укрупненными видами машин и оборудования</w:t>
      </w:r>
      <w:r>
        <w:t xml:space="preserve">, </w:t>
      </w:r>
      <w:r w:rsidRPr="00F55835">
        <w:t>непосредственно участвующими в основных производственно-технологических процессах отрасли.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Его удельный вес в составе парков техники отраслей промышленности составляет 50-88%</w:t>
      </w:r>
      <w:r>
        <w:t xml:space="preserve">, </w:t>
      </w:r>
      <w:r w:rsidRPr="00F55835">
        <w:t>в том числе больше 80% является отечественной продукцией. Вспомогательное оборудование в составе отраслевых парков техники представлено четырьмя-десятью важнейшими крупными видами машин и оборудования</w:t>
      </w:r>
      <w:r>
        <w:t xml:space="preserve">, </w:t>
      </w:r>
      <w:r w:rsidRPr="00F55835">
        <w:t>которые предназначены для выполнения производственно-вспомогательных функций (иногда в этом качестве используются отдельные элементы основного технологического оборудования некоторых отраслей). Удельный вес вспомогательного оборудования в составе отраслевых парков техники составляет от 10 до 40%</w:t>
      </w:r>
      <w:r>
        <w:t xml:space="preserve">, </w:t>
      </w:r>
      <w:r w:rsidRPr="00F55835">
        <w:t>контрольно-измерительной техники</w:t>
      </w:r>
      <w:r>
        <w:t xml:space="preserve"> - </w:t>
      </w:r>
      <w:r w:rsidRPr="00F55835">
        <w:t>5-10%</w:t>
      </w:r>
      <w:r>
        <w:t xml:space="preserve">, </w:t>
      </w:r>
      <w:r w:rsidRPr="00F55835">
        <w:t>в том числе больше 70% этих позиций являются импортными.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В инвестиционном машиностроении основное технологическое оборудование составляет примерно 70% (19 и 11%</w:t>
      </w:r>
      <w:r>
        <w:t xml:space="preserve"> - </w:t>
      </w:r>
      <w:r w:rsidRPr="00F55835">
        <w:t>соответственно вспомогательное оборудование и контрольно-измерительная техника). Оно представлено металлорежущими станками</w:t>
      </w:r>
      <w:r>
        <w:t xml:space="preserve">, </w:t>
      </w:r>
      <w:r w:rsidRPr="00F55835">
        <w:t>кузнечно-прессовыми машинами</w:t>
      </w:r>
      <w:r>
        <w:t xml:space="preserve">, </w:t>
      </w:r>
      <w:r w:rsidRPr="00F55835">
        <w:t>подъемно-транспортным и электротехническим оборудованием. Наличие парков указанной техники позволяет инвестиционному машиностроению производить основное технологическое оборудование для других отраслей экономики</w:t>
      </w:r>
      <w:r>
        <w:t xml:space="preserve">, </w:t>
      </w:r>
      <w:r w:rsidRPr="00F55835">
        <w:t>в том числе промышленности. Поддержание инвестиционного машиностроения со стороны органов государственной власти в качестве производителя определенных видов машин и оборудования</w:t>
      </w:r>
      <w:r>
        <w:t xml:space="preserve">, </w:t>
      </w:r>
      <w:r w:rsidRPr="00F55835">
        <w:t>а также потребителей этой продукции крайне благотворно скажется на производственном положении отрасли. Капиталовложения в производственный аппарат инвестиционного машиностроения являются</w:t>
      </w:r>
      <w:r>
        <w:t xml:space="preserve">, </w:t>
      </w:r>
      <w:r w:rsidRPr="00F55835">
        <w:t>несомненно</w:t>
      </w:r>
      <w:r>
        <w:t xml:space="preserve">, </w:t>
      </w:r>
      <w:r w:rsidRPr="00F55835">
        <w:t>лучшим направлением инвестирования в современный период</w:t>
      </w:r>
      <w:r>
        <w:t xml:space="preserve">, </w:t>
      </w:r>
      <w:r w:rsidRPr="00F55835">
        <w:t>так как служат гарантией поддержки</w:t>
      </w:r>
      <w:r>
        <w:t xml:space="preserve">, </w:t>
      </w:r>
      <w:r w:rsidRPr="00F55835">
        <w:t>модернизации и ускоренного обновления производственного аппарата всех отраслей экономики и промышленности.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Другим важным направлением инвестирования представляется производственный аппарат обрабатывающей промышленности. Ускоренное обновление активной части основного капитала отраслей обрабатывающей промышленности позволяет сохранить и обновить производственно-технологические цепочки отечественной экономики</w:t>
      </w:r>
      <w:r>
        <w:t xml:space="preserve">, </w:t>
      </w:r>
      <w:r w:rsidRPr="00F55835">
        <w:t>повысить их эффективность</w:t>
      </w:r>
      <w:r>
        <w:t xml:space="preserve">, </w:t>
      </w:r>
      <w:r w:rsidRPr="00F55835">
        <w:t>избежать создания замкнутых производственных анклавов и ресурсно-сырьевой ориентации экономики. В этой связи необходимо инвестирование химической и нефтехимической</w:t>
      </w:r>
      <w:r>
        <w:t xml:space="preserve">, </w:t>
      </w:r>
      <w:r w:rsidRPr="00F55835">
        <w:t>деревообрабатывающей и целлюлозно-бумажной</w:t>
      </w:r>
      <w:r>
        <w:t xml:space="preserve">, </w:t>
      </w:r>
      <w:r w:rsidRPr="00F55835">
        <w:t>легкой</w:t>
      </w:r>
      <w:r>
        <w:t xml:space="preserve">, </w:t>
      </w:r>
      <w:r w:rsidRPr="00F55835">
        <w:t>пищевой промышленности</w:t>
      </w:r>
      <w:r>
        <w:t xml:space="preserve">, </w:t>
      </w:r>
      <w:r w:rsidRPr="00F55835">
        <w:t>обрабатывающих производств топливной промышленности</w:t>
      </w:r>
      <w:r>
        <w:t xml:space="preserve">, </w:t>
      </w:r>
      <w:r w:rsidRPr="00F55835">
        <w:t>черной и цветной металлургии. Инвестиционное машиностроение способно произвести для этих отраслей основное технологическое оборудование</w:t>
      </w:r>
      <w:r>
        <w:t xml:space="preserve">, </w:t>
      </w:r>
      <w:r w:rsidRPr="00F55835">
        <w:t>которым являются: технологическое оборудование для пищевой</w:t>
      </w:r>
      <w:r>
        <w:t xml:space="preserve">, </w:t>
      </w:r>
      <w:r w:rsidRPr="00F55835">
        <w:t>легкой промышленности</w:t>
      </w:r>
      <w:r>
        <w:t xml:space="preserve">, </w:t>
      </w:r>
      <w:r w:rsidRPr="00F55835">
        <w:t>цветной и черной металлургии</w:t>
      </w:r>
      <w:r>
        <w:t xml:space="preserve">, </w:t>
      </w:r>
      <w:r w:rsidRPr="00F55835">
        <w:t>химическое</w:t>
      </w:r>
      <w:r>
        <w:t xml:space="preserve">, </w:t>
      </w:r>
      <w:r w:rsidRPr="00F55835">
        <w:t>электротехническое</w:t>
      </w:r>
      <w:r>
        <w:t xml:space="preserve">, </w:t>
      </w:r>
      <w:r w:rsidRPr="00F55835">
        <w:t>деревообрабатывающее</w:t>
      </w:r>
      <w:r>
        <w:t xml:space="preserve">, </w:t>
      </w:r>
      <w:r w:rsidRPr="00F55835">
        <w:t>нефтяное оборудование.</w:t>
      </w:r>
    </w:p>
    <w:p w:rsidR="007F6F49" w:rsidRPr="00F55835" w:rsidRDefault="007F6F49" w:rsidP="007F6F49">
      <w:pPr>
        <w:spacing w:before="120"/>
        <w:ind w:firstLine="567"/>
        <w:jc w:val="both"/>
      </w:pPr>
      <w:r w:rsidRPr="00F55835">
        <w:t>Еще одно важное направление инвестирования</w:t>
      </w:r>
      <w:r>
        <w:t xml:space="preserve"> - </w:t>
      </w:r>
      <w:r w:rsidRPr="00F55835">
        <w:t>электроэнергетика и промышленность строительных материалов. Для этих отраслей инвестиционное машиностроение может дополнительно произвести следующее основное технологическое оборудование: энергетическое</w:t>
      </w:r>
      <w:r>
        <w:t xml:space="preserve">, </w:t>
      </w:r>
      <w:r w:rsidRPr="00F55835">
        <w:t>электротехническое</w:t>
      </w:r>
      <w:r>
        <w:t xml:space="preserve">, </w:t>
      </w:r>
      <w:r w:rsidRPr="00F55835">
        <w:t>подъемно-транспортное</w:t>
      </w:r>
      <w:r>
        <w:t xml:space="preserve">, </w:t>
      </w:r>
      <w:r w:rsidRPr="00F55835">
        <w:t>строительно-дорожное оборудование.</w:t>
      </w:r>
    </w:p>
    <w:p w:rsidR="007F6F49" w:rsidRDefault="007F6F49" w:rsidP="007F6F49">
      <w:pPr>
        <w:spacing w:before="120"/>
        <w:ind w:firstLine="567"/>
        <w:jc w:val="both"/>
      </w:pPr>
      <w:r w:rsidRPr="00F55835">
        <w:t>Таким образом</w:t>
      </w:r>
      <w:r>
        <w:t xml:space="preserve">, </w:t>
      </w:r>
      <w:r w:rsidRPr="00F55835">
        <w:t>в перспективный период может быть осуществлено ускоренное обновление активной части основного капитала отраслей промышленности</w:t>
      </w:r>
      <w:r>
        <w:t xml:space="preserve">, </w:t>
      </w:r>
      <w:r w:rsidRPr="00F55835">
        <w:t>в том числе инвестиционного оборудования</w:t>
      </w:r>
      <w:r>
        <w:t xml:space="preserve">, </w:t>
      </w:r>
      <w:r w:rsidRPr="00F55835">
        <w:t>без увеличения объемов закупок импортного оборудования на основе использования возможностей увеличения выпуска продукции отечественного инвестиционного машиностроения</w:t>
      </w:r>
      <w:r>
        <w:t xml:space="preserve">, </w:t>
      </w:r>
      <w:r w:rsidRPr="00F55835">
        <w:t>активной и целенаправленной перераспределительной политики в области доходов со стороны государства.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F49"/>
    <w:rsid w:val="001A35F6"/>
    <w:rsid w:val="00316C56"/>
    <w:rsid w:val="003569C8"/>
    <w:rsid w:val="007F6F49"/>
    <w:rsid w:val="00811DD4"/>
    <w:rsid w:val="0091442F"/>
    <w:rsid w:val="009977BE"/>
    <w:rsid w:val="00C700A4"/>
    <w:rsid w:val="00D1440E"/>
    <w:rsid w:val="00F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5CC988-5E42-4000-B8EB-39D810A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6F4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Возможности ускоренного обновления активной части основного капитала отраслей промышленности </vt:lpstr>
    </vt:vector>
  </TitlesOfParts>
  <Company>Home</Company>
  <LinksUpToDate>false</LinksUpToDate>
  <CharactersWithSpaces>23982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ускоренного обновления активной части основного капитала отраслей промышленности </dc:title>
  <dc:subject/>
  <dc:creator>User</dc:creator>
  <cp:keywords/>
  <dc:description/>
  <cp:lastModifiedBy>admin</cp:lastModifiedBy>
  <cp:revision>2</cp:revision>
  <dcterms:created xsi:type="dcterms:W3CDTF">2014-03-28T15:46:00Z</dcterms:created>
  <dcterms:modified xsi:type="dcterms:W3CDTF">2014-03-28T15:46:00Z</dcterms:modified>
</cp:coreProperties>
</file>