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9E" w:rsidRPr="0073539E" w:rsidRDefault="0073539E" w:rsidP="0073539E">
      <w:pPr>
        <w:pStyle w:val="ConsPlusTitle"/>
        <w:widowControl/>
        <w:spacing w:before="120" w:after="120" w:line="360" w:lineRule="auto"/>
        <w:jc w:val="center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Взнос</w:t>
      </w:r>
      <w:r>
        <w:rPr>
          <w:rFonts w:ascii="Courier New" w:hAnsi="Courier New" w:cs="Courier New"/>
          <w:spacing w:val="20"/>
          <w:sz w:val="32"/>
          <w:szCs w:val="32"/>
        </w:rPr>
        <w:t>ы</w:t>
      </w:r>
      <w:r w:rsidRPr="0073539E">
        <w:rPr>
          <w:rFonts w:ascii="Courier New" w:hAnsi="Courier New" w:cs="Courier New"/>
          <w:spacing w:val="20"/>
          <w:sz w:val="32"/>
          <w:szCs w:val="32"/>
        </w:rPr>
        <w:t xml:space="preserve"> в соцстрах и </w:t>
      </w:r>
      <w:r>
        <w:rPr>
          <w:rFonts w:ascii="Courier New" w:hAnsi="Courier New" w:cs="Courier New"/>
          <w:spacing w:val="20"/>
          <w:sz w:val="32"/>
          <w:szCs w:val="32"/>
        </w:rPr>
        <w:t xml:space="preserve">по </w:t>
      </w:r>
      <w:r w:rsidRPr="0073539E">
        <w:rPr>
          <w:rFonts w:ascii="Courier New" w:hAnsi="Courier New" w:cs="Courier New"/>
          <w:spacing w:val="20"/>
          <w:sz w:val="32"/>
          <w:szCs w:val="32"/>
        </w:rPr>
        <w:t>земельному налогу по новым правилам</w:t>
      </w:r>
    </w:p>
    <w:p w:rsidR="0073539E" w:rsidRPr="0073539E" w:rsidRDefault="0073539E" w:rsidP="0073539E">
      <w:pPr>
        <w:pStyle w:val="ConsPlusNonformat"/>
        <w:widowControl/>
        <w:spacing w:before="120" w:after="120" w:line="360" w:lineRule="auto"/>
        <w:jc w:val="both"/>
        <w:rPr>
          <w:spacing w:val="20"/>
          <w:sz w:val="32"/>
          <w:szCs w:val="32"/>
        </w:rPr>
      </w:pP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Во II квартале изменились две формы отчетности: расчетная ведомость по форме 4-ФСС РФ и расчет по авансовым платежам по земельному налогу. В форме соцстраха на первый взгляд совсем несущественные изменения. Но они вызвали много технических проблем на практике. О том, что следует учесть при составлении расчетной ведомости за полугодие, "Главбух" выяснил прямо в ФСС РФ (с. 32).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А вот Минфин России порадовал новым разъяснением плательщиков земельного налога (Письмо от 6 июня 2006 г. N 03-06-02-02/75). Чиновники рассмотрели случаи, когда организации могут временно не платить земельный налог и сдавать "нулевые" отчеты.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Решить проблемы, которые возникнут при заполнении двух новых форм, поможет наш материал.</w:t>
      </w:r>
    </w:p>
    <w:p w:rsidR="00A74700" w:rsidRDefault="00A74700" w:rsidP="0073539E">
      <w:pPr>
        <w:pStyle w:val="ConsPlusNormal"/>
        <w:widowControl/>
        <w:spacing w:before="120" w:after="120" w:line="360" w:lineRule="auto"/>
        <w:ind w:firstLine="0"/>
        <w:jc w:val="center"/>
        <w:rPr>
          <w:rFonts w:ascii="Courier New" w:hAnsi="Courier New" w:cs="Courier New"/>
          <w:spacing w:val="20"/>
          <w:sz w:val="32"/>
          <w:szCs w:val="32"/>
        </w:rPr>
      </w:pPr>
    </w:p>
    <w:p w:rsidR="00A74700" w:rsidRDefault="00A74700" w:rsidP="0073539E">
      <w:pPr>
        <w:pStyle w:val="ConsPlusNormal"/>
        <w:widowControl/>
        <w:spacing w:before="120" w:after="120" w:line="360" w:lineRule="auto"/>
        <w:ind w:firstLine="0"/>
        <w:jc w:val="center"/>
        <w:rPr>
          <w:rFonts w:ascii="Courier New" w:hAnsi="Courier New" w:cs="Courier New"/>
          <w:spacing w:val="20"/>
          <w:sz w:val="32"/>
          <w:szCs w:val="32"/>
        </w:rPr>
      </w:pPr>
    </w:p>
    <w:p w:rsidR="00A74700" w:rsidRDefault="00A74700" w:rsidP="0073539E">
      <w:pPr>
        <w:pStyle w:val="ConsPlusNormal"/>
        <w:widowControl/>
        <w:spacing w:before="120" w:after="120" w:line="360" w:lineRule="auto"/>
        <w:ind w:firstLine="0"/>
        <w:jc w:val="center"/>
        <w:rPr>
          <w:rFonts w:ascii="Courier New" w:hAnsi="Courier New" w:cs="Courier New"/>
          <w:spacing w:val="20"/>
          <w:sz w:val="32"/>
          <w:szCs w:val="32"/>
        </w:rPr>
      </w:pP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0"/>
        <w:jc w:val="center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Расчетная ведомость по страховым взносам</w:t>
      </w:r>
    </w:p>
    <w:p w:rsidR="0073539E" w:rsidRPr="0073539E" w:rsidRDefault="0073539E" w:rsidP="0073539E">
      <w:pPr>
        <w:pStyle w:val="ConsPlusNonformat"/>
        <w:widowControl/>
        <w:spacing w:before="120" w:after="120" w:line="360" w:lineRule="auto"/>
        <w:jc w:val="both"/>
        <w:rPr>
          <w:spacing w:val="20"/>
          <w:sz w:val="32"/>
          <w:szCs w:val="32"/>
        </w:rPr>
      </w:pP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В расчетную ведомость 4-ФСС РФ Постановлением ФСС РФ от 31 марта 2006 г. N 37 (признано не нуждающимся в государственной регистрации 25 апреля 2006 г.) внесены изменения. Отчитываться по новой форме расчетной ведомости впервые следует за полугодие. И подать новый бланк нужно не позднее 17 июля 2006 г. (перенос с 15 июля).</w:t>
      </w:r>
    </w:p>
    <w:p w:rsidR="0073539E" w:rsidRPr="0073539E" w:rsidRDefault="0073539E" w:rsidP="0073539E">
      <w:pPr>
        <w:pStyle w:val="ConsPlusNonformat"/>
        <w:widowControl/>
        <w:spacing w:before="120" w:after="120" w:line="360" w:lineRule="auto"/>
        <w:jc w:val="both"/>
        <w:rPr>
          <w:spacing w:val="20"/>
          <w:sz w:val="32"/>
          <w:szCs w:val="32"/>
        </w:rPr>
      </w:pP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Примечание. В разд. III расчетной ведомости организация должна отразить начисленные страховые взносы от несчастных случаев на производстве.</w:t>
      </w:r>
    </w:p>
    <w:p w:rsidR="0073539E" w:rsidRPr="0073539E" w:rsidRDefault="0073539E" w:rsidP="0073539E">
      <w:pPr>
        <w:pStyle w:val="ConsPlusNonformat"/>
        <w:widowControl/>
        <w:spacing w:before="120" w:after="120" w:line="360" w:lineRule="auto"/>
        <w:jc w:val="both"/>
        <w:rPr>
          <w:spacing w:val="20"/>
          <w:sz w:val="32"/>
          <w:szCs w:val="32"/>
        </w:rPr>
      </w:pP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В расчетную ведомость ФСС РФ внес всего одно изменение: теперь отчет заполняется не в целых рублях, а в рублях и копейках. Однако из-за того, что новый бланк надо заполнять с середины года, возникает несколько технических проблем. Способы их решения нам предложили в отделе методологического обеспечения бюджетного учета и отчетности ФСС РФ.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Примечание. На вопросы отвечает Ермолаева Наталья Николаевна, заместитель начальника отдела методологического обеспечения бюджетного учета и отчетности ФСС РФ.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- Наталья Николаевна, не так давно ФСС РФ внес изменения в форму расчетной ведомости в части заполнения ее в рублях и копейках. Надо ли в связи с этим пересдавать отчет за I квартал 2006 г.?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- Не надо. Ведь расчетная ведомость заполняется нарастающим итогом с начала года. И поэтому заполнять отчет в рублях и копейках можно начиная с расчетной ведомости за первое полугодие. И значит, пересдавать расчетную ведомость по страховым взносам не надо.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- Расчетную ведомость по форме 4-ФСС РФ следует заполнять с первого полугодия в рублях и копейках. А как в отчете отражать остатки взносов на начало 2006 г. и II квартала - в целых рублях или рублях с копейками?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- В целых рублях (вместо копеек нули). Ведь данные о входящих остатках берутся из расчетной ведомости, составленной по итогам I квартала. А ее, как известно, организациям следовало заполнять в целых рублях. То есть получается, что остатки на начало 2006 г. и II квартала должны отражаться в отчете в рублях, а остальные цифры - в рублях с копейками.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- Но тогда у организаций возникают небольшие расхождения между данными в бухгалтерском учете (по начисленным и уплаченным суммам страховых взносов) и расчетной ведомости...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- Да, но эти расхождения были и раньше. Ведь организации начисляли взносы в рублях и копейках, а в форме расчетной ведомости суммы округлялись. Тому, как решить проблему с расхождениями, посвящено только что выпущенное Письмо ФСС РФ от 23 июня 2006 г. N 02-18/05-6288. Мы предлагаем организациям рассчитать сейчас все разницы и включить их суммы в начисления любого месяца II квартала, отразив в полугодовой расчетной ведомости. Таким образом, по состоянию на 1 июля 2006 г. никаких расхождений между бухучетом и данными формы 4-ФСС РФ не будет.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- Понятно, что многие организации хотят максимально упростить работу и не делать подобных корректировок. Можно ли начислять ЕСН и страховые взносы от несчастных случаев на производстве, а также перечислять их в бюджет в целых рублях? И расчетную ведомость продолжать при этом заполнять в рублях без копеек?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- Формально такого запрета нет. Но не стоит забывать, что если организация будет округлять суммы страховых взносов в меньшую сторону, то возникнет недоимка. И хотя это будут незначительные суммы (из-за расхождений на копейки), но все равно программа начислит пени. А это лишний повод для беспокойства бухгалтера. Поэтому, чтобы избежать технических сложностей, лучше ЕСН и страховые взносы от несчастных случаев начислять и платить в бюджет в рублях с копейками.</w:t>
      </w:r>
    </w:p>
    <w:p w:rsidR="0073539E" w:rsidRPr="0073539E" w:rsidRDefault="0073539E" w:rsidP="0073539E">
      <w:pPr>
        <w:pStyle w:val="ConsPlusNonformat"/>
        <w:widowControl/>
        <w:spacing w:before="120" w:after="120" w:line="360" w:lineRule="auto"/>
        <w:jc w:val="both"/>
        <w:rPr>
          <w:spacing w:val="20"/>
          <w:sz w:val="32"/>
          <w:szCs w:val="32"/>
        </w:rPr>
      </w:pP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Приведем пример того, как откорректировать разницы между данными бухгалтерского учета и расчетной ведомости по форме 4-ФСС РФ.</w:t>
      </w:r>
    </w:p>
    <w:p w:rsidR="0073539E" w:rsidRPr="0073539E" w:rsidRDefault="0073539E" w:rsidP="0073539E">
      <w:pPr>
        <w:pStyle w:val="ConsPlusNonformat"/>
        <w:widowControl/>
        <w:spacing w:before="120" w:after="120" w:line="360" w:lineRule="auto"/>
        <w:jc w:val="both"/>
        <w:rPr>
          <w:spacing w:val="20"/>
          <w:sz w:val="32"/>
          <w:szCs w:val="32"/>
        </w:rPr>
      </w:pP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Пример. Задолженность ООО "Винтаж" на начало 2006 г. перед отделением ФСС РФ составила в бухучете 15 680,12 руб. Поэтому в расчетной ведомости за I квартал бухгалтер отразил по строке 1 таблицы 2 разд. I ведомости 15 680 руб. Задолженность за фирмой на конец I квартала равна 16 805,15 руб. По строке 18 таблицы 2 разд. I ведомости бухгалтер отразил 16 805 руб.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Во II квартале 2006 г. бухгалтер ООО "Винтаж" начислил страховые взносы в ФСС РФ на сумму 52 000,89 руб. Во II квартале фирма перечислила страховые взносы на сумму 60 000,15 руб. Бухгалтер сделал такие проводки: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Дебет 20 Кредит 69 субсчет "Расчеты по социальному страхованию и обеспечению"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- 52 000,89 руб. - начислены страховые взносы в ФСС РФ;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Дебет 69 субсчет "Расчеты по социальному страхованию и обеспечению" Кредит 51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- 60 000,15 руб. - перечислены деньги в ФСС РФ.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В расчетную ведомость за полугодие должны попасть такие данные: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- 15 680 руб. - задолженность на начало 2006 г., отражается в целых рублях;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- 16 805 руб. - задолженность на начало II квартала;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- 52 000,89 руб. - начислено во II квартале;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- 60 000,15 руб. - перечислено в ФСС РФ;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- 8805,74 руб. - задолженность на конец полугодия.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А вот по данным бухгалтерского учета задолженность на конец отчетного периода составила 8805,89 руб. (16 805,15 + 52 000,89 - 60 000,15).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В итоге расхождение между данными бухучета и расчетной ведомости составило 0,15 руб. (8805,89 - 8805,74). На эти 15 коп. бухгалтер ООО "Винтаж" увеличил сумму начисленных страховых взносов за июнь 2006 г. (строка 3 таблицы 2 разд. I). Поэтому общая сумма начисленных взносов за июнь составила 52 001,04 руб. (52 000,89 + 0,15). И на 1 июля 2006 г. расхождений у фирмы не будет.</w:t>
      </w:r>
    </w:p>
    <w:p w:rsidR="0073539E" w:rsidRPr="0073539E" w:rsidRDefault="0073539E" w:rsidP="0073539E">
      <w:pPr>
        <w:pStyle w:val="ConsPlusNonformat"/>
        <w:widowControl/>
        <w:spacing w:before="120" w:after="120" w:line="360" w:lineRule="auto"/>
        <w:jc w:val="both"/>
        <w:rPr>
          <w:spacing w:val="20"/>
          <w:sz w:val="32"/>
          <w:szCs w:val="32"/>
        </w:rPr>
      </w:pP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0"/>
        <w:jc w:val="center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Расчет по земельному налогу</w:t>
      </w:r>
    </w:p>
    <w:p w:rsidR="0073539E" w:rsidRPr="0073539E" w:rsidRDefault="0073539E" w:rsidP="0073539E">
      <w:pPr>
        <w:pStyle w:val="ConsPlusNonformat"/>
        <w:widowControl/>
        <w:spacing w:before="120" w:after="120" w:line="360" w:lineRule="auto"/>
        <w:jc w:val="both"/>
        <w:rPr>
          <w:spacing w:val="20"/>
          <w:sz w:val="32"/>
          <w:szCs w:val="32"/>
        </w:rPr>
      </w:pP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Во II квартале, как мы уже отметили, изменилась форма расчета по авансовым платежам по земельному налогу. Этот бланк обновлен Приказом Минфина России от 12 апреля 2006 г. N 64н (зарегистрирован Минюстом России 11 мая 2006 г. N 7796).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Впервые отчитываться по новой форме придется за полугодие. При условии, что местные власти ввели по земельному налогу отчетные периоды. На это указывает п. 3 ст. 393 Налогового кодекса РФ. Отчитаться на новом бланке за полугодие нужно не позднее 31 июля.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Что изменилось в расчете. В расчете по авансовым платежам поменялись разд. 1 и 2. Так, разд. 1 теперь должен подписывать и генеральный директор организации, и главный бухгалтер. Раньше достаточно было подписи одного из них. А разд. 2 изменился для тех фирм и ПБОЮЛ, у которых есть льготы по земельному налогу.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Подробно о том, как заполнять разд. 2 расчета, мы рассказали в "Главбухе" N 11, 2006, с. 61 - 65.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Как отчитываться, если не известна кадастровая стоимость. Земельный налог следует исчислять исходя из кадастровой стоимости участка на 1 января. Об этом говорится в п. 1 ст. 391 Налогового кодекса РФ. Однако на практике у плательщиков земельного налога с определением кадастровой стоимости участка часто возникают сложности. Дело в том, что такие сведения организациям должны представлять региональные власти. Этот вывод следует из ст. 66 Земельного кодекса РФ.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И на практике власти на местах зачастую доводят сведения о кадастровой стоимости уже после того, как истекли сроки уплаты авансовых платежей и сдачи отчетности. При этом возможно три ситуации, которые Минфин России рассмотрел в Письме от 6 июня 2006 г. N 03-06-02-02/75: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- кадастровую стоимость земли региональные власти не определили вовсе;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- кадастровую стоимость участка чиновники определили, но не успели разработать порядок доведения этих сведений до налогоплательщиков;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- данные о кадастровой стоимости земли власти довести до фирм не успели.</w:t>
      </w:r>
    </w:p>
    <w:p w:rsidR="0073539E" w:rsidRPr="0073539E" w:rsidRDefault="0073539E" w:rsidP="0073539E">
      <w:pPr>
        <w:pStyle w:val="ConsPlusNormal"/>
        <w:widowControl/>
        <w:spacing w:before="120" w:after="120" w:line="360" w:lineRule="auto"/>
        <w:ind w:firstLine="540"/>
        <w:jc w:val="both"/>
        <w:rPr>
          <w:rFonts w:ascii="Courier New" w:hAnsi="Courier New" w:cs="Courier New"/>
          <w:spacing w:val="20"/>
          <w:sz w:val="32"/>
          <w:szCs w:val="32"/>
        </w:rPr>
      </w:pPr>
      <w:r w:rsidRPr="0073539E">
        <w:rPr>
          <w:rFonts w:ascii="Courier New" w:hAnsi="Courier New" w:cs="Courier New"/>
          <w:spacing w:val="20"/>
          <w:sz w:val="32"/>
          <w:szCs w:val="32"/>
        </w:rPr>
        <w:t>Во всех трех случаях Минфин России позволяет не исчислять авансовые платежи по земельному налогу, пока не будет известна кадастровая стоимость. При этом сотрудники финансового ведомства разъяснили, что в инспекцию придется сдавать "нулевые расчеты". И если региональные власти успеют довести необходимую информацию до сдачи отчетности за 9 месяцев, то, как считают в Минфине России, организации должны будут представить в инспекцию "уточненки" за I квартал и полугодие.</w:t>
      </w:r>
    </w:p>
    <w:p w:rsidR="00960408" w:rsidRDefault="00960408" w:rsidP="00960408">
      <w:pPr>
        <w:spacing w:before="120" w:after="120" w:line="360" w:lineRule="auto"/>
        <w:rPr>
          <w:rFonts w:ascii="Courier New" w:hAnsi="Courier New" w:cs="Courier New"/>
          <w:spacing w:val="20"/>
          <w:sz w:val="32"/>
          <w:szCs w:val="32"/>
        </w:rPr>
      </w:pPr>
      <w:r>
        <w:rPr>
          <w:rFonts w:ascii="Courier New" w:hAnsi="Courier New" w:cs="Courier New"/>
          <w:spacing w:val="20"/>
          <w:sz w:val="32"/>
          <w:szCs w:val="32"/>
        </w:rPr>
        <w:br w:type="page"/>
        <w:t xml:space="preserve">Литература </w:t>
      </w:r>
    </w:p>
    <w:p w:rsidR="00960408" w:rsidRDefault="00960408" w:rsidP="00960408">
      <w:pPr>
        <w:spacing w:before="120" w:after="120" w:line="360" w:lineRule="auto"/>
        <w:rPr>
          <w:rFonts w:ascii="Courier New" w:hAnsi="Courier New" w:cs="Courier New"/>
          <w:spacing w:val="20"/>
          <w:sz w:val="32"/>
          <w:szCs w:val="32"/>
        </w:rPr>
      </w:pPr>
    </w:p>
    <w:p w:rsidR="00960408" w:rsidRPr="00960408" w:rsidRDefault="00960408" w:rsidP="00960408">
      <w:pPr>
        <w:numPr>
          <w:ilvl w:val="0"/>
          <w:numId w:val="1"/>
        </w:numPr>
        <w:spacing w:before="120" w:after="120" w:line="360" w:lineRule="auto"/>
        <w:rPr>
          <w:rFonts w:ascii="Courier New" w:hAnsi="Courier New" w:cs="Courier New"/>
          <w:spacing w:val="20"/>
          <w:sz w:val="32"/>
          <w:szCs w:val="32"/>
        </w:rPr>
      </w:pPr>
      <w:r w:rsidRPr="00960408">
        <w:rPr>
          <w:rFonts w:ascii="Courier New" w:hAnsi="Courier New" w:cs="Courier New"/>
          <w:spacing w:val="20"/>
          <w:sz w:val="32"/>
          <w:szCs w:val="32"/>
        </w:rPr>
        <w:t>Пансков В.Г. Комментарий к Налоговому кодексу Российской Федерации. Издание четвертое, дополненное. М.: Финансы и статистика, 2005.</w:t>
      </w:r>
    </w:p>
    <w:p w:rsidR="00960408" w:rsidRPr="00960408" w:rsidRDefault="00960408" w:rsidP="00960408">
      <w:pPr>
        <w:numPr>
          <w:ilvl w:val="0"/>
          <w:numId w:val="1"/>
        </w:numPr>
        <w:spacing w:before="120" w:after="120" w:line="360" w:lineRule="auto"/>
        <w:rPr>
          <w:rFonts w:ascii="Courier New" w:hAnsi="Courier New" w:cs="Courier New"/>
          <w:spacing w:val="20"/>
          <w:sz w:val="32"/>
          <w:szCs w:val="32"/>
        </w:rPr>
      </w:pPr>
      <w:r w:rsidRPr="00960408">
        <w:rPr>
          <w:rFonts w:ascii="Courier New" w:hAnsi="Courier New" w:cs="Courier New"/>
          <w:spacing w:val="20"/>
          <w:sz w:val="32"/>
          <w:szCs w:val="32"/>
        </w:rPr>
        <w:t>Подпорин Ю.В. Налог на прибыль. Исчисление, уплата, ответственность. Приложение к журналу "Налоговый вестник". М., 2006.</w:t>
      </w:r>
    </w:p>
    <w:p w:rsidR="00D261D0" w:rsidRPr="00960408" w:rsidRDefault="00960408" w:rsidP="00960408">
      <w:pPr>
        <w:numPr>
          <w:ilvl w:val="0"/>
          <w:numId w:val="1"/>
        </w:numPr>
        <w:spacing w:before="120" w:after="120" w:line="360" w:lineRule="auto"/>
        <w:rPr>
          <w:rFonts w:ascii="Courier New" w:hAnsi="Courier New" w:cs="Courier New"/>
          <w:spacing w:val="20"/>
          <w:sz w:val="32"/>
          <w:szCs w:val="32"/>
        </w:rPr>
      </w:pPr>
      <w:r w:rsidRPr="00960408">
        <w:rPr>
          <w:rFonts w:ascii="Courier New" w:hAnsi="Courier New" w:cs="Courier New"/>
          <w:spacing w:val="20"/>
          <w:sz w:val="32"/>
          <w:szCs w:val="32"/>
        </w:rPr>
        <w:t>Постатейный комментарий к Налоговому кодексу Российской Федерации / Под. ред. В.И. Слома. М.: Статут, 2006.</w:t>
      </w:r>
      <w:bookmarkStart w:id="0" w:name="_GoBack"/>
      <w:bookmarkEnd w:id="0"/>
    </w:p>
    <w:sectPr w:rsidR="00D261D0" w:rsidRPr="00960408" w:rsidSect="0073539E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EB2" w:rsidRDefault="00E22EB2">
      <w:r>
        <w:separator/>
      </w:r>
    </w:p>
  </w:endnote>
  <w:endnote w:type="continuationSeparator" w:id="0">
    <w:p w:rsidR="00E22EB2" w:rsidRDefault="00E2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9E" w:rsidRDefault="00BC319C" w:rsidP="0073539E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3539E" w:rsidRDefault="0073539E" w:rsidP="007353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EB2" w:rsidRDefault="00E22EB2">
      <w:r>
        <w:separator/>
      </w:r>
    </w:p>
  </w:footnote>
  <w:footnote w:type="continuationSeparator" w:id="0">
    <w:p w:rsidR="00E22EB2" w:rsidRDefault="00E2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7591B"/>
    <w:multiLevelType w:val="hybridMultilevel"/>
    <w:tmpl w:val="31F28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E7A"/>
    <w:rsid w:val="002C3425"/>
    <w:rsid w:val="006D5378"/>
    <w:rsid w:val="0073539E"/>
    <w:rsid w:val="00850E7A"/>
    <w:rsid w:val="00960408"/>
    <w:rsid w:val="00A74700"/>
    <w:rsid w:val="00BC319C"/>
    <w:rsid w:val="00C37325"/>
    <w:rsid w:val="00D147F7"/>
    <w:rsid w:val="00D261D0"/>
    <w:rsid w:val="00E2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73802F-20D2-4091-A51A-1F2C775B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53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353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53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7353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35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Взносы в соцстрах и по земельному налогу по новым правилам</vt:lpstr>
    </vt:vector>
  </TitlesOfParts>
  <Company>ОАО "НЭК"</Company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Взносы в соцстрах и по земельному налогу по новым правилам</dc:title>
  <dc:subject/>
  <dc:creator>refersb</dc:creator>
  <cp:keywords/>
  <dc:description/>
  <cp:lastModifiedBy>admin</cp:lastModifiedBy>
  <cp:revision>2</cp:revision>
  <dcterms:created xsi:type="dcterms:W3CDTF">2014-03-03T17:49:00Z</dcterms:created>
  <dcterms:modified xsi:type="dcterms:W3CDTF">2014-03-03T17:49:00Z</dcterms:modified>
</cp:coreProperties>
</file>