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946" w:rsidRDefault="00227946">
      <w:pPr>
        <w:spacing w:line="408" w:lineRule="auto"/>
        <w:jc w:val="center"/>
        <w:rPr>
          <w:rFonts w:ascii="CyrillicGoth" w:hAnsi="CyrillicGoth"/>
          <w:b/>
          <w:sz w:val="56"/>
        </w:rPr>
      </w:pPr>
    </w:p>
    <w:p w:rsidR="00227946" w:rsidRDefault="00227946">
      <w:pPr>
        <w:spacing w:line="408" w:lineRule="auto"/>
        <w:jc w:val="center"/>
        <w:rPr>
          <w:rFonts w:ascii="CyrillicGoth" w:hAnsi="CyrillicGoth"/>
          <w:b/>
          <w:sz w:val="56"/>
        </w:rPr>
      </w:pPr>
    </w:p>
    <w:p w:rsidR="00227946" w:rsidRDefault="00227946">
      <w:pPr>
        <w:spacing w:line="408" w:lineRule="auto"/>
        <w:jc w:val="center"/>
        <w:rPr>
          <w:rFonts w:ascii="CyrillicGoth" w:hAnsi="CyrillicGoth"/>
          <w:b/>
          <w:sz w:val="56"/>
        </w:rPr>
      </w:pPr>
    </w:p>
    <w:p w:rsidR="00227946" w:rsidRDefault="0047741A">
      <w:pPr>
        <w:spacing w:line="408" w:lineRule="auto"/>
        <w:jc w:val="center"/>
        <w:rPr>
          <w:rFonts w:ascii="CyrillicGoth" w:hAnsi="CyrillicGoth"/>
          <w:b/>
          <w:sz w:val="56"/>
        </w:rPr>
      </w:pPr>
      <w:r>
        <w:rPr>
          <w:rFonts w:ascii="CyrillicGoth" w:hAnsi="CyrillicGoth"/>
          <w:b/>
          <w:sz w:val="56"/>
        </w:rPr>
        <w:t xml:space="preserve">Сравнительный Анализ </w:t>
      </w:r>
      <w:r>
        <w:rPr>
          <w:rFonts w:ascii="CyrillicGoth" w:hAnsi="CyrillicGoth"/>
          <w:b/>
          <w:sz w:val="56"/>
        </w:rPr>
        <w:br/>
        <w:t xml:space="preserve">Системы Глагольных Времён </w:t>
      </w:r>
      <w:r>
        <w:rPr>
          <w:rFonts w:ascii="CyrillicGoth" w:hAnsi="CyrillicGoth"/>
          <w:b/>
          <w:sz w:val="56"/>
        </w:rPr>
        <w:br/>
        <w:t xml:space="preserve">и </w:t>
      </w:r>
      <w:r>
        <w:rPr>
          <w:rFonts w:ascii="CyrillicGoth" w:hAnsi="CyrillicGoth"/>
          <w:b/>
          <w:caps/>
          <w:sz w:val="56"/>
        </w:rPr>
        <w:t>с</w:t>
      </w:r>
      <w:r>
        <w:rPr>
          <w:rFonts w:ascii="CyrillicGoth" w:hAnsi="CyrillicGoth"/>
          <w:b/>
          <w:sz w:val="56"/>
        </w:rPr>
        <w:t xml:space="preserve">традательного </w:t>
      </w:r>
      <w:r>
        <w:rPr>
          <w:rFonts w:ascii="CyrillicGoth" w:hAnsi="CyrillicGoth"/>
          <w:b/>
          <w:caps/>
          <w:sz w:val="56"/>
        </w:rPr>
        <w:t>з</w:t>
      </w:r>
      <w:r>
        <w:rPr>
          <w:rFonts w:ascii="CyrillicGoth" w:hAnsi="CyrillicGoth"/>
          <w:b/>
          <w:sz w:val="56"/>
        </w:rPr>
        <w:t>алога</w:t>
      </w:r>
      <w:r>
        <w:rPr>
          <w:rFonts w:ascii="CyrillicGoth" w:hAnsi="CyrillicGoth"/>
          <w:b/>
          <w:sz w:val="56"/>
        </w:rPr>
        <w:br/>
        <w:t>В Русском И Немецком Языках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br w:type="page"/>
      </w:r>
      <w:r>
        <w:rPr>
          <w:sz w:val="25"/>
        </w:rPr>
        <w:lastRenderedPageBreak/>
        <w:t>Как в русском, так и в немецком языке глаголы изменяются по временам. Категория времени - словоизменительная категория, обозначающая отношение действия к одному из трёх реальных временных пластов: настоящего, прошедшего и будущего. Строение системы форм времени в русском языке свидетельствует об отсутствии тождества между грамматическим и реальным временем.</w:t>
      </w:r>
    </w:p>
    <w:p w:rsidR="00227946" w:rsidRDefault="00C3215A">
      <w:pPr>
        <w:spacing w:line="408" w:lineRule="auto"/>
        <w:jc w:val="both"/>
        <w:rPr>
          <w:sz w:val="25"/>
        </w:rPr>
      </w:pPr>
      <w:r>
        <w:rPr>
          <w:noProof/>
        </w:rPr>
        <w:pict>
          <v:group id="_x0000_s1026" style="position:absolute;left:0;text-align:left;margin-left:60.4pt;margin-top:237.8pt;width:253.7pt;height:139.75pt;z-index:251657728" coordorigin="-1" coordsize="20001,20001" o:allowincell="f">
            <v:group id="_x0000_s1027" style="position:absolute;left:4832;top:1882;width:11908;height:15521" coordsize="20000,20000">
              <v:line id="_x0000_s1028" style="position:absolute;flip:y" from="0,0" to="10003,20000" strokeweight="1pt">
                <v:stroke startarrowwidth="narrow" startarrowlength="short" endarrowwidth="narrow" endarrowlength="short"/>
              </v:line>
              <v:line id="_x0000_s1029" style="position:absolute;flip:x y" from="9990,0" to="19993,20000" strokeweight="1pt">
                <v:stroke startarrowwidth="narrow" startarrowlength="short" endarrowwidth="narrow" endarrowlength="short"/>
              </v:line>
              <v:line id="_x0000_s1030" style="position:absolute" from="0,19991" to="20000,20000" strokeweight="1pt">
                <v:stroke startarrowwidth="narrow" startarrowlength="short" endarrowwidth="narrow" endarrowlength="short"/>
              </v:line>
            </v:group>
            <v:group id="_x0000_s1031" style="position:absolute;left:8281;top:7521;width:4840;height:6275" coordsize="20000,20000">
              <v:line id="_x0000_s1032" style="position:absolute;flip:y" from="0,0" to="10000,19978" strokeweight="1pt">
                <v:stroke startarrowwidth="narrow" startarrowlength="short" endarrowwidth="narrow" endarrowlength="short"/>
              </v:line>
              <v:line id="_x0000_s1033" style="position:absolute;flip:x y" from="10000,0" to="20000,19978" strokeweight="1pt">
                <v:stroke startarrowwidth="narrow" startarrowlength="short" endarrowwidth="narrow" endarrowlength="short"/>
              </v:line>
              <v:line id="_x0000_s1034" style="position:absolute" from="0,19978" to="19988,20000" strokeweight="1pt">
                <v:stroke startarrowwidth="narrow" startarrowlength="short" endarrowwidth="narrow" endarrowlength="short"/>
              </v:line>
            </v:group>
            <v:rect id="_x0000_s1035" style="position:absolute;left:9661;top:5331;width:3149;height:2426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Präsens</w:t>
                    </w:r>
                  </w:p>
                </w:txbxContent>
              </v:textbox>
            </v:rect>
            <v:rect id="_x0000_s1036" style="position:absolute;left:6038;top:14419;width:3627;height:2190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Imperfekt</w:t>
                    </w:r>
                  </w:p>
                </w:txbxContent>
              </v:textbox>
            </v:rect>
            <v:rect id="_x0000_s1037" style="position:absolute;left:13283;top:14419;width:3122;height:2719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Futur I</w:t>
                    </w:r>
                  </w:p>
                </w:txbxContent>
              </v:textbox>
            </v:rect>
            <v:rect id="_x0000_s1038" style="position:absolute;left:16906;top:17553;width:3094;height:2448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Futur II</w:t>
                    </w:r>
                  </w:p>
                </w:txbxContent>
              </v:textbox>
            </v:rect>
            <v:rect id="_x0000_s1039" style="position:absolute;left:-1;top:17546;width:6071;height:2448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Pludquamperfekt</w:t>
                    </w:r>
                  </w:p>
                </w:txbxContent>
              </v:textbox>
            </v:rect>
            <v:rect id="_x0000_s1040" style="position:absolute;left:9661;width:2924;height:1760" filled="f" stroked="f" strokeweight="1pt">
              <v:textbox inset="1pt,1pt,1pt,1pt">
                <w:txbxContent>
                  <w:p w:rsidR="00227946" w:rsidRDefault="0047741A">
                    <w:r>
                      <w:rPr>
                        <w:lang w:val="en-US"/>
                      </w:rPr>
                      <w:t>Perfekt</w:t>
                    </w:r>
                  </w:p>
                </w:txbxContent>
              </v:textbox>
            </v:rect>
          </v:group>
        </w:pict>
      </w:r>
      <w:r w:rsidR="0047741A">
        <w:rPr>
          <w:sz w:val="25"/>
        </w:rPr>
        <w:tab/>
        <w:t>Время осуществления действия определяется по отношению к той или иной точке отсчёта, которой является либо момент речи, (</w:t>
      </w:r>
      <w:r w:rsidR="0047741A">
        <w:rPr>
          <w:i/>
          <w:sz w:val="25"/>
        </w:rPr>
        <w:t>он придёт вовремя</w:t>
      </w:r>
      <w:r w:rsidR="0047741A">
        <w:rPr>
          <w:sz w:val="25"/>
        </w:rPr>
        <w:t xml:space="preserve">), либо какой-либо другой момент, в частности время другого действия </w:t>
      </w:r>
      <w:r w:rsidR="0047741A">
        <w:rPr>
          <w:i/>
          <w:sz w:val="25"/>
        </w:rPr>
        <w:t>(он думал, что придёт вовремя</w:t>
      </w:r>
      <w:r w:rsidR="0047741A">
        <w:rPr>
          <w:sz w:val="25"/>
        </w:rPr>
        <w:t>). В морфологической системе форм времени эти различия не отражены, что существенно отличает русский язык от немецкого, шесть времён которого делятся на прямые (Präsens, Imperfect, Futur I), и относительные (Perfect, Plusquamperfect, Futur II). Настоящее выражает Präsens, прошедшее - Imperfect, Perfect и Plusquamperfect, будущее - Futur I и Futur II. Эту систему времён можно выразить в виде двойного треугольника:</w:t>
      </w: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227946">
      <w:pPr>
        <w:spacing w:line="408" w:lineRule="auto"/>
        <w:rPr>
          <w:sz w:val="25"/>
        </w:rPr>
      </w:pP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Категориальные значения форм времени в русском языке ориентируются на единую исходную грамматическую точку отсчета. Это абстрактное грамматическое понятие отражает в обобщенном виде как момент речи, так и любой другой момент, по отношению к которому определяется время действия </w:t>
      </w:r>
      <w:r>
        <w:rPr>
          <w:sz w:val="25"/>
        </w:rPr>
        <w:lastRenderedPageBreak/>
        <w:t>в речи</w:t>
      </w:r>
      <w:r>
        <w:rPr>
          <w:sz w:val="25"/>
          <w:lang w:val="en-US"/>
        </w:rPr>
        <w:t>.</w:t>
      </w:r>
      <w:r>
        <w:rPr>
          <w:sz w:val="25"/>
        </w:rPr>
        <w:t xml:space="preserve"> Система форм времени строится на противопоставлении значения одновременности (настоящее время), предшествования (прошедшее время), или следования (будущее время) по отношению к грамматической точке отсчета. Категориальные грамматические значения временных форм реализуются во взаимодействии с контекстом. Поэтому различают прямое (</w:t>
      </w:r>
      <w:r>
        <w:rPr>
          <w:i/>
          <w:sz w:val="25"/>
        </w:rPr>
        <w:t>смотри: вот он идёт</w:t>
      </w:r>
      <w:r>
        <w:rPr>
          <w:sz w:val="25"/>
        </w:rPr>
        <w:t>) и переносное (</w:t>
      </w:r>
      <w:r>
        <w:rPr>
          <w:i/>
          <w:sz w:val="25"/>
        </w:rPr>
        <w:t>иду я вчера по улице</w:t>
      </w:r>
      <w:r>
        <w:rPr>
          <w:sz w:val="25"/>
        </w:rPr>
        <w:t>) употребление форм.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Время в русском языке тесно связано с категорией вида, который компенсирует меньшее количество глагольных времён. Все три грамматических времени имеют только глаголы несовершенного вида, глаголы совершенного вида имеют два времени: будущее и прошедшее. Но отличают (Бондарко А.В., Виноградов В.В.) и существование настоящего-будущего времени совершенного вида (</w:t>
      </w:r>
      <w:r>
        <w:rPr>
          <w:i/>
          <w:sz w:val="25"/>
        </w:rPr>
        <w:t>никак не найду книгу</w:t>
      </w:r>
      <w:r>
        <w:rPr>
          <w:sz w:val="25"/>
        </w:rPr>
        <w:t>)</w:t>
      </w:r>
      <w:r>
        <w:rPr>
          <w:sz w:val="25"/>
          <w:lang w:val="en-US"/>
        </w:rPr>
        <w:t>.</w:t>
      </w:r>
      <w:r>
        <w:rPr>
          <w:sz w:val="25"/>
        </w:rPr>
        <w:t xml:space="preserve"> Отдельные значения временных форм во многом определяются видовым значением, образующим формы глагола.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Кроме будущего сложного времени глагольные формы являются синтетическими. Формы непрошедших времён - личные. Они выражаются с помощью окончаний значения лица и числа, не имеют специального показателя времени. Формы прошедшего времени - родовые. Они выражаются окончаниями значений рода и числа; словоизменительный суффикс </w:t>
      </w:r>
      <w:r>
        <w:rPr>
          <w:b/>
          <w:sz w:val="25"/>
        </w:rPr>
        <w:t>-л-</w:t>
      </w:r>
      <w:r>
        <w:rPr>
          <w:sz w:val="25"/>
        </w:rPr>
        <w:t xml:space="preserve"> является показателем времени. В немецком языке все формы являются личными: Простые Präsens, Imperfect; составные Perfect, Plusquamperfect, Futur I и II. В русском языке по временам глаголы изменяются только в изъявительном наклонении, а в немецком ещё и в сослагательном.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Основное различие между нашими языками - в выражении прошедшего времени: в русском языке одно прошедшее время, а в немецком - три. Более близкой к немецкой является система прошедшего времени в древнерусском языке, включающая в себя четыре времени: имперфект (наиболее важные, требующие подробного описания действия среди ряда прошедших событий), аорист (события, следовавшие друг за другом в прошлом), перфект и плюсквамперфект. Современное прошедшее время - перфектная форма, утратившая глагол-связку “есмь” ( написал есмь). Остатки былых форм сохранились в словоформах: “Откуда есть пошла...” (перфект) и “Жили-были” (плюсквамперфект). В современном языке прошедшее время сохранило частные значения имперфекта, перфекта и аориста, при определении которых существенную роль играет вид глагола, указывающий на разобщённость действия с планом настоящего. При имперфектном значении действие обозначается как процесс, совершавшийся в прошлом, но не завершившийся. Перфект обозначает действие как процесс, имевший место в прошлом и завершённый. Существенно отсутствие указания на разобщённость результата действия с планом настоящего. При аористическом значении существенно указание на само наличие действия в прошлом, результат которого, если он был, разобщён с планом настоящего.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Глаголы совершенного и несовершенного вида по-разному реализуют эти значения.</w:t>
      </w:r>
    </w:p>
    <w:p w:rsidR="00227946" w:rsidRDefault="0047741A">
      <w:pPr>
        <w:spacing w:line="408" w:lineRule="auto"/>
        <w:ind w:left="-567"/>
        <w:jc w:val="both"/>
        <w:rPr>
          <w:i/>
          <w:sz w:val="25"/>
        </w:rPr>
      </w:pPr>
      <w:r>
        <w:rPr>
          <w:i/>
          <w:sz w:val="25"/>
        </w:rPr>
        <w:t>Частные значения несовершенного вида: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аористическое - прошедшее несовершенное обобщённого факта;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конкретного единичного действия;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обычного, повторяющегося действия;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Последние два значения - имперфектные, соответствуют немецкому времени, которое, в основном, употребляется в жанре рассказа.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ind w:hanging="567"/>
        <w:jc w:val="both"/>
        <w:rPr>
          <w:i/>
          <w:sz w:val="25"/>
        </w:rPr>
      </w:pPr>
      <w:r>
        <w:rPr>
          <w:i/>
          <w:sz w:val="25"/>
        </w:rPr>
        <w:t>Значения совершенного вида: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Аористическое, выражающее действие как конкретный факт прошлого.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Выражает прошедшее действие, результаты которого актуальны для более позднего временного пласта - настоящего или прошедшего, что полностью соответствует немецкому Perfect и Plusquamperfect.</w:t>
      </w:r>
    </w:p>
    <w:p w:rsidR="00227946" w:rsidRDefault="0047741A">
      <w:pPr>
        <w:spacing w:line="408" w:lineRule="auto"/>
        <w:ind w:hanging="567"/>
        <w:jc w:val="both"/>
        <w:rPr>
          <w:i/>
          <w:sz w:val="25"/>
        </w:rPr>
      </w:pPr>
      <w:r>
        <w:rPr>
          <w:i/>
          <w:sz w:val="25"/>
        </w:rPr>
        <w:t>Perfect имеет два значения: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выражает прошедшее в настоящем по отношению к глаголу в Prasens (</w:t>
      </w:r>
      <w:r>
        <w:rPr>
          <w:i/>
          <w:sz w:val="25"/>
        </w:rPr>
        <w:t>Ich habe die Arbeit gemacht, und gehe ich jetzt schpazieren</w:t>
      </w:r>
      <w:r>
        <w:rPr>
          <w:sz w:val="25"/>
        </w:rPr>
        <w:t xml:space="preserve"> - Я выполнил работу и сейчас иду гулять);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при выражении прошедших событий употребляется в разговоре и небольших сообщениях. (Hast du die Wochenende gut verbracht? - Ты хорошо провёл выходные? - Ja, ich bin aufs Land gefahren. - Да, я ездил за город);</w:t>
      </w:r>
    </w:p>
    <w:p w:rsidR="00227946" w:rsidRDefault="0047741A">
      <w:pPr>
        <w:spacing w:line="408" w:lineRule="auto"/>
        <w:ind w:hanging="567"/>
        <w:jc w:val="both"/>
        <w:rPr>
          <w:i/>
          <w:sz w:val="25"/>
        </w:rPr>
      </w:pPr>
      <w:r>
        <w:rPr>
          <w:i/>
          <w:sz w:val="25"/>
        </w:rPr>
        <w:t>В русском языке перфект употребляется: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С формами настоящего несовершенного (“Другая улица лежит на взгорье, обросла вербами”(Шолохов));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с краткими и полными прилагательными в роли сказуемых и со словами категории состояния (“Веки красны и набрякли”(Солоухин));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как изолированная форма прошедшего совершенного (в болоте-то по ступицу засели. (Толстой));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При сочетании ряда таких форм в контексте возникает не “цепь” сменяющих друг друга событий (аорист), а “пучок” одновременных состояний. (Она обносилась, обтрепалась, спеклась на ветру. (Бунин))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Для прошедшего времени не характерна транспозиция, хотя она иногда употребляется в перфектном значении: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обозначает будущее время (Ну, я пошёл);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обозначает ироническое отрицание, пренебрежительное отношение. (Боялся я его, как же! Чихал я на него!).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Эти значения невозможны в немецком языке.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Будущее время обозначает действие, отнесённое в план будущего. В русском языке у глаголов совершенного вида это значение выражено формами будущего простого времени, которые тождественны формам настоящего времени глаголов несовершенного вида. Они могут употребляться в значении настоящего времени, если условия контекста исключают отнесённость действия к будущему: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при выражении потенциального действия обычно при употреблении формы глагола в обощённо-личном значении и в объединении с частицей “не” (</w:t>
      </w:r>
      <w:r>
        <w:rPr>
          <w:i/>
          <w:sz w:val="25"/>
        </w:rPr>
        <w:t>Не разберёшь сколько ему лет</w:t>
      </w:r>
      <w:r>
        <w:rPr>
          <w:sz w:val="25"/>
        </w:rPr>
        <w:t>.);</w:t>
      </w:r>
    </w:p>
    <w:p w:rsidR="00227946" w:rsidRDefault="0047741A">
      <w:pPr>
        <w:numPr>
          <w:ilvl w:val="0"/>
          <w:numId w:val="1"/>
        </w:numPr>
        <w:spacing w:line="408" w:lineRule="auto"/>
        <w:jc w:val="both"/>
        <w:rPr>
          <w:sz w:val="25"/>
        </w:rPr>
      </w:pPr>
      <w:r>
        <w:rPr>
          <w:sz w:val="25"/>
        </w:rPr>
        <w:t>при выражении абстрактного действия (</w:t>
      </w:r>
      <w:r>
        <w:rPr>
          <w:i/>
          <w:sz w:val="25"/>
        </w:rPr>
        <w:t>упустишь огонь - не потушишь</w:t>
      </w:r>
      <w:r>
        <w:rPr>
          <w:sz w:val="25"/>
        </w:rPr>
        <w:t>).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Как в русском, так и в немецком языке форма второго лица может выражать дополнительный модальный оттенок долженствования: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i/>
          <w:sz w:val="25"/>
        </w:rPr>
        <w:t>Du wirst dich jetzt bei der Schwester entschuldigen</w:t>
      </w:r>
      <w:r>
        <w:rPr>
          <w:sz w:val="25"/>
        </w:rPr>
        <w:t>! - Ты сейчас же извинишься перед сестрой!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У глаголов несовершенного вида будущее время выражено аналитическим способом и называется будущим сложным, которое даже по форме соответствует немецкому Futur I (сравните:</w:t>
      </w:r>
      <w:r>
        <w:rPr>
          <w:i/>
          <w:sz w:val="25"/>
        </w:rPr>
        <w:t xml:space="preserve"> werde schreiben</w:t>
      </w:r>
      <w:r>
        <w:rPr>
          <w:sz w:val="25"/>
        </w:rPr>
        <w:t xml:space="preserve"> - буду писать).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Отдельные значения, в которых могут выступать формы будущего сложного различаются в зависимости от представления действия как единичного (Мы сегодня вечером будем читать), обычного (Теперь каждый день буду ездить на занятия) или обобщённого (Будем строить дома.)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В немецком языке также существует Futur II, обозначающий действие, которое будет закончено раньше, чем начнётся другое действие в будущем. Это - устаревшая форма, чаще всего её заменяет перфект. Nachdem wir diese Aufgabe gelost haben werden (gelost haben - Perfekt), werde ich mit anderen Fragen befassen. На русский язык перфект переводится будущим временем: После того, как мы решим это задание, я займусь другим вопросом.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Употребление настоящего времени в русском и немецком языке практически совпадает. Прямое употребление - отнесённость действия к моменту речи, постоянное действие и обобщённое. Переносное: настоящее историческое, обозначающее будущее время.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В немецком может ещё являться синонимом перфекта: Ich hore Sie wollen verreisen = Ich habe gehort Sie wollen verreisen.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jc w:val="center"/>
        <w:rPr>
          <w:rFonts w:ascii="Boyarsky" w:hAnsi="Boyarsky"/>
          <w:b/>
          <w:sz w:val="44"/>
        </w:rPr>
      </w:pPr>
      <w:r>
        <w:rPr>
          <w:sz w:val="25"/>
        </w:rPr>
        <w:br w:type="page"/>
      </w:r>
      <w:r>
        <w:rPr>
          <w:rFonts w:ascii="Boyarsky" w:hAnsi="Boyarsky"/>
          <w:b/>
          <w:sz w:val="44"/>
        </w:rPr>
        <w:t>Страдательный залог: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В русском языке страдательный залог образуется с помощью формы “глагол-связка БЫТЬ в нулевой или ненулевой форме + краткое страдательное причастие” или при помощи глагола с постфиксом </w:t>
      </w:r>
      <w:r>
        <w:rPr>
          <w:b/>
          <w:sz w:val="25"/>
        </w:rPr>
        <w:t>-ся</w:t>
      </w:r>
      <w:r>
        <w:rPr>
          <w:sz w:val="25"/>
        </w:rPr>
        <w:t>.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В немецком - при помощи форм werden + Partizip II, sein + Partizip II, lassen + sich + Infinitiv, mussen (sollen, konnen) + Infinitiv Passiv, sein + zu + Infinitiv.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При этом существует множество подходов к характеристике страдательного залога в целом. Так в русском языке страдательный залог характеризуется с точки зрения морфологии (Ф.Ф. Фортунатов), синтаксиса (А.А. Потебня), морфолого-синтаксической точки зрения (В.В. Виноградов) и с семантико-синтаксической (А.В. Бондарко), а в немецком языке, в основном, с позиций синтаксиса (В.Г. Адмони, М.М. Гухман, К. Бринкманн), а в настоящее время также с семантическо-синтаксических позиций (К. Зоммерфельдт, Г. Хельбиг).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Также нет единого мнения в связи с определением границы между действительным и страдательным залогом. А.А. Потебня и Попов считают, что отличительным признаком страдательного залога является возможность неупоминания производителя действия, А.А. Шахматов противопоставляет действительный залог страдательному в зависимости от того, чем является подлежащее: агенсом или пациенсом. 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В зарубежной германистике принято считать отличительным признаком страдательного залога выдвижение объекта действия в центр внимания говорящего (F.Blatz, B. Delbruck), или (как и в русском) возможность неупоминания объекта действия (L. Weisberger, G. Helbig). 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 xml:space="preserve">В русской германистике действительный и страдательный залоги противопоставляются также с точки зрения центробежности или центростремительности действия (М.М. Гухман), а В.В. Виноградов, учитывая данные морфологии, синтаксиса и лексики рассматривает оба залога в русском языке как синонимичные и параллельные конструкции, по-разному отражающие в языке одни и те же отношения действительности. 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Существует также теория поля пассивности (поля пассивности в немецком языке и поля страдательного залога в русском). В центре поля пассивности в немецком - грамматическая категория страдательного залога, выражающая данное значение с помощью аналитической глагольной пассивной формы werden + Partizip II. В центре поля русского страдательного залога принято помещать форму “краткое страдательное причастие + глагол-связка БЫТЬ в нулевой или ненулевой форме”. Werden + Partizip II и “краткое страдательное причастие + глагол-связка БЫТЬ в нулевой или ненулевой форме” находятся в центре поля пассивности в немецком и в русском языках, так как у них особо сильно выражена взаимосцепляемость компонентов, создающая их реальную неразложимость, идиоматичность и наличие общихх значений. Они также синтаксически неразложимы и выступают в предложении как один член.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В русском языке связь причастия с категорией времени, вида и залога носит формальный характер, благодаря суффиксам причастия </w:t>
      </w:r>
      <w:r>
        <w:rPr>
          <w:b/>
          <w:sz w:val="25"/>
        </w:rPr>
        <w:t>-н-</w:t>
      </w:r>
      <w:r>
        <w:rPr>
          <w:sz w:val="25"/>
        </w:rPr>
        <w:t xml:space="preserve">, и </w:t>
      </w:r>
      <w:r>
        <w:rPr>
          <w:b/>
          <w:sz w:val="25"/>
        </w:rPr>
        <w:t>-т-</w:t>
      </w:r>
      <w:r>
        <w:rPr>
          <w:sz w:val="25"/>
        </w:rPr>
        <w:t xml:space="preserve">, служащим, в основном, для выражения значения страдательного залога глаголов совершенного вида, и благодаря суффиксу </w:t>
      </w:r>
      <w:r>
        <w:rPr>
          <w:b/>
          <w:sz w:val="25"/>
        </w:rPr>
        <w:t>-м-</w:t>
      </w:r>
      <w:r>
        <w:rPr>
          <w:sz w:val="25"/>
        </w:rPr>
        <w:t>, используемому для выражения страдательного залога глаголов несовершенного вида.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В немецком языке категория вида отсутствует, но существуют аспектуальные значения (завершённое характеризующееся ограниченностью действия пределом или незавершённое - отсутствием связи между действием и пределом.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В отличие от русского языка, в котором значения совершенного и несовершенного видов закреплены за формами с определённым суффиксом, в немецком языке аспектуальные значения неустойчивы. Они определяются семантикой глагола, от которого образуется Partizip II, входящее в состав пассивной формы в немецком языке, лексическими, синтаксическими средствами, контекстом и т.д. 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Alle ihre Dorfer wurden zerstort und niedergebrannt, alle ihre Felder in Weide verwandelt (Все их деревни были разрушены и сожжены, все поля обращены в пастбища). - Завершённый характер действия в предложении определяется семантикой глаголов: zerstoren - разрушать, niederbrennen - сжигать, vervandeln - превращать, от которых образован Partizip II: zerstort, niedergebrannt, verwandelt.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 xml:space="preserve">В форме “краткое страдательное причастие + глагол-связка БЫТЬ в ненулевой форме” время определяется с помощью глагола-связки БЫТЬ, а в случае его отсутствия посредством суффикса </w:t>
      </w:r>
      <w:r>
        <w:rPr>
          <w:b/>
          <w:sz w:val="25"/>
        </w:rPr>
        <w:t>-м-</w:t>
      </w:r>
      <w:r>
        <w:rPr>
          <w:sz w:val="25"/>
        </w:rPr>
        <w:t xml:space="preserve"> для выражения настоящего времени и суффиксами </w:t>
      </w:r>
      <w:r>
        <w:rPr>
          <w:b/>
          <w:sz w:val="25"/>
        </w:rPr>
        <w:t>-н-</w:t>
      </w:r>
      <w:r>
        <w:rPr>
          <w:sz w:val="25"/>
        </w:rPr>
        <w:t xml:space="preserve"> и </w:t>
      </w:r>
      <w:r>
        <w:rPr>
          <w:b/>
          <w:sz w:val="25"/>
        </w:rPr>
        <w:t>-т-</w:t>
      </w:r>
      <w:r>
        <w:rPr>
          <w:sz w:val="25"/>
        </w:rPr>
        <w:t xml:space="preserve"> для выражения прошедшего времени.</w:t>
      </w: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В немецком языке в пассиве показателем времени служит изменение по временам глагола werden.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Кроме форм, находящихся в центре поля пассивности существуют и другие. У них присутствуют признаки, благодаря которым они отличаются от рассматриваемых выше форм и занимают в поле пассивности удалённое от центра положение.</w:t>
      </w:r>
    </w:p>
    <w:p w:rsidR="00227946" w:rsidRDefault="0047741A">
      <w:pPr>
        <w:spacing w:line="408" w:lineRule="auto"/>
        <w:ind w:hanging="567"/>
        <w:jc w:val="both"/>
        <w:rPr>
          <w:i/>
          <w:sz w:val="25"/>
        </w:rPr>
      </w:pPr>
      <w:r>
        <w:rPr>
          <w:i/>
          <w:sz w:val="25"/>
        </w:rPr>
        <w:t>К числу таких признаков относятся следующие:</w:t>
      </w:r>
    </w:p>
    <w:p w:rsidR="00227946" w:rsidRDefault="0047741A">
      <w:pPr>
        <w:numPr>
          <w:ilvl w:val="0"/>
          <w:numId w:val="2"/>
        </w:numPr>
        <w:spacing w:line="408" w:lineRule="auto"/>
        <w:jc w:val="both"/>
        <w:rPr>
          <w:sz w:val="25"/>
        </w:rPr>
      </w:pPr>
      <w:r>
        <w:rPr>
          <w:sz w:val="25"/>
        </w:rPr>
        <w:t xml:space="preserve">Наличие других значений и оттенков. Так в русском языке глаголы с постфиксом </w:t>
      </w:r>
      <w:r>
        <w:rPr>
          <w:b/>
          <w:sz w:val="25"/>
        </w:rPr>
        <w:t>-ся</w:t>
      </w:r>
      <w:r>
        <w:rPr>
          <w:sz w:val="25"/>
        </w:rPr>
        <w:t xml:space="preserve"> могут иметь значение возможности или необходимости совершения действия, а в немецком форма sein + zu обладает значением долженствования, необходимости, возможности.</w:t>
      </w:r>
    </w:p>
    <w:p w:rsidR="00227946" w:rsidRDefault="0047741A">
      <w:pPr>
        <w:numPr>
          <w:ilvl w:val="0"/>
          <w:numId w:val="3"/>
        </w:numPr>
        <w:spacing w:line="408" w:lineRule="auto"/>
        <w:jc w:val="both"/>
        <w:rPr>
          <w:sz w:val="25"/>
        </w:rPr>
      </w:pPr>
      <w:r>
        <w:rPr>
          <w:sz w:val="25"/>
        </w:rPr>
        <w:t>Отсутствие у ряда форм в немецком языке признаков, присущих аналитической пассивной форме.</w:t>
      </w:r>
    </w:p>
    <w:p w:rsidR="00227946" w:rsidRDefault="00227946">
      <w:pPr>
        <w:spacing w:line="408" w:lineRule="auto"/>
        <w:jc w:val="both"/>
        <w:rPr>
          <w:sz w:val="25"/>
        </w:rPr>
      </w:pPr>
    </w:p>
    <w:p w:rsidR="00227946" w:rsidRDefault="0047741A">
      <w:pPr>
        <w:spacing w:line="408" w:lineRule="auto"/>
        <w:jc w:val="both"/>
        <w:rPr>
          <w:sz w:val="25"/>
        </w:rPr>
      </w:pPr>
      <w:r>
        <w:rPr>
          <w:sz w:val="25"/>
        </w:rPr>
        <w:t>Результаты сопоставительного исследования страдательного залога в немецком и в русском языках позволяют сделать следующие выводы:</w:t>
      </w:r>
    </w:p>
    <w:p w:rsidR="00227946" w:rsidRDefault="0047741A">
      <w:pPr>
        <w:numPr>
          <w:ilvl w:val="0"/>
          <w:numId w:val="1"/>
        </w:numPr>
        <w:tabs>
          <w:tab w:val="left" w:pos="3828"/>
        </w:tabs>
        <w:spacing w:line="408" w:lineRule="auto"/>
        <w:jc w:val="both"/>
        <w:rPr>
          <w:sz w:val="25"/>
        </w:rPr>
      </w:pPr>
      <w:r>
        <w:rPr>
          <w:sz w:val="25"/>
        </w:rPr>
        <w:t>Категория страдательного залога в русском и немецком языках была и продолжает оставаться в центре внимания лингвистов, хотя её исследования, как и категории залога в целом, носят более разносторонний и глубокий характер в русском, чем в немецком языке.</w:t>
      </w:r>
    </w:p>
    <w:p w:rsidR="00227946" w:rsidRDefault="0047741A">
      <w:pPr>
        <w:numPr>
          <w:ilvl w:val="0"/>
          <w:numId w:val="1"/>
        </w:numPr>
        <w:tabs>
          <w:tab w:val="left" w:pos="3828"/>
        </w:tabs>
        <w:spacing w:line="408" w:lineRule="auto"/>
        <w:jc w:val="both"/>
        <w:rPr>
          <w:sz w:val="25"/>
        </w:rPr>
      </w:pPr>
      <w:r>
        <w:rPr>
          <w:sz w:val="25"/>
        </w:rPr>
        <w:t>Рассматриваемая категория в каждом из языков имеет свои конкретные формы и проявления. Эти структуры имеют одну общую функцию: они служат средствами выражения страдательного залога в русском и в немецком языках. Но критерии их отбора для включения в состав поля пассивности в немецком языке и поля страдательного залога в русском языке различны из-за ряда признаков, отличающих данные формы друг от друга, что обусловлено расхождениями в системах глагольных времён этих языков.</w:t>
      </w:r>
    </w:p>
    <w:p w:rsidR="00227946" w:rsidRDefault="0047741A">
      <w:pPr>
        <w:numPr>
          <w:ilvl w:val="0"/>
          <w:numId w:val="1"/>
        </w:numPr>
        <w:tabs>
          <w:tab w:val="left" w:pos="3828"/>
        </w:tabs>
        <w:spacing w:line="408" w:lineRule="auto"/>
        <w:jc w:val="both"/>
        <w:rPr>
          <w:sz w:val="25"/>
        </w:rPr>
      </w:pPr>
      <w:r>
        <w:rPr>
          <w:sz w:val="25"/>
        </w:rPr>
        <w:t>Факторы системного характера определяют особенности передачи с исходного языка на язык перевода основных компонентов содержания страдательного залога.</w:t>
      </w:r>
    </w:p>
    <w:p w:rsidR="00227946" w:rsidRDefault="0047741A">
      <w:pPr>
        <w:tabs>
          <w:tab w:val="left" w:pos="3828"/>
        </w:tabs>
        <w:spacing w:line="408" w:lineRule="auto"/>
        <w:jc w:val="both"/>
        <w:rPr>
          <w:sz w:val="25"/>
        </w:rPr>
      </w:pPr>
      <w:r>
        <w:rPr>
          <w:sz w:val="25"/>
        </w:rPr>
        <w:t>Необходимость соблюдения норм исходного языка и языка перевода ведёт к целому ряду модификаций содержания текста перевода, благодаря лексическому и синтаксическому трансферу, и определяет возможность выбора вариантов перевода страдательного залога.</w:t>
      </w:r>
    </w:p>
    <w:p w:rsidR="00227946" w:rsidRDefault="0047741A">
      <w:pPr>
        <w:spacing w:line="408" w:lineRule="auto"/>
        <w:ind w:firstLine="720"/>
        <w:jc w:val="both"/>
        <w:rPr>
          <w:sz w:val="25"/>
        </w:rPr>
      </w:pPr>
      <w:r>
        <w:rPr>
          <w:sz w:val="25"/>
        </w:rPr>
        <w:t>Из всего вышеизложенного следует, что системы глагольных времён в русском и немецком языках имеют много общего. Отсутствие перфекта и плюсквамперфекта в русском языке компенсируется наличием грамматической категории вида. Оба языка не имеют специальных форм для обозначения продолжительности действия, в отличие от, например, Continious в английском. Оба - языки синтетического строя, обладающие элементами аналитизма, что можно проследить на примере их глагольных форм. И это также доказывает их родственную связь.</w:t>
      </w:r>
    </w:p>
    <w:p w:rsidR="00227946" w:rsidRDefault="00227946">
      <w:pPr>
        <w:tabs>
          <w:tab w:val="left" w:pos="3828"/>
        </w:tabs>
        <w:spacing w:line="408" w:lineRule="auto"/>
        <w:jc w:val="both"/>
        <w:rPr>
          <w:sz w:val="25"/>
        </w:rPr>
      </w:pPr>
    </w:p>
    <w:p w:rsidR="00227946" w:rsidRDefault="00227946">
      <w:pPr>
        <w:tabs>
          <w:tab w:val="left" w:pos="3828"/>
        </w:tabs>
        <w:spacing w:line="408" w:lineRule="auto"/>
        <w:jc w:val="both"/>
        <w:rPr>
          <w:sz w:val="25"/>
        </w:rPr>
      </w:pPr>
    </w:p>
    <w:p w:rsidR="00227946" w:rsidRDefault="00227946">
      <w:pPr>
        <w:tabs>
          <w:tab w:val="left" w:pos="3828"/>
        </w:tabs>
        <w:spacing w:line="408" w:lineRule="auto"/>
        <w:jc w:val="both"/>
      </w:pPr>
      <w:bookmarkStart w:id="0" w:name="_GoBack"/>
      <w:bookmarkEnd w:id="0"/>
    </w:p>
    <w:sectPr w:rsidR="00227946">
      <w:headerReference w:type="even" r:id="rId7"/>
      <w:headerReference w:type="default" r:id="rId8"/>
      <w:pgSz w:w="11906" w:h="16838"/>
      <w:pgMar w:top="1440" w:right="1558" w:bottom="1985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946" w:rsidRDefault="0047741A">
      <w:r>
        <w:separator/>
      </w:r>
    </w:p>
  </w:endnote>
  <w:endnote w:type="continuationSeparator" w:id="0">
    <w:p w:rsidR="00227946" w:rsidRDefault="0047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yrillicGot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Bauhaus Heavy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946" w:rsidRDefault="0047741A">
      <w:r>
        <w:separator/>
      </w:r>
    </w:p>
  </w:footnote>
  <w:footnote w:type="continuationSeparator" w:id="0">
    <w:p w:rsidR="00227946" w:rsidRDefault="00477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46" w:rsidRDefault="00477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946" w:rsidRDefault="00227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946" w:rsidRDefault="004774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3215A">
      <w:rPr>
        <w:rStyle w:val="a5"/>
        <w:noProof/>
      </w:rPr>
      <w:t>2</w:t>
    </w:r>
    <w:r>
      <w:rPr>
        <w:rStyle w:val="a5"/>
      </w:rPr>
      <w:fldChar w:fldCharType="end"/>
    </w:r>
  </w:p>
  <w:p w:rsidR="00227946" w:rsidRDefault="0047741A">
    <w:pPr>
      <w:pStyle w:val="a3"/>
      <w:pBdr>
        <w:bottom w:val="single" w:sz="6" w:space="1" w:color="auto"/>
      </w:pBdr>
      <w:spacing w:after="80"/>
      <w:ind w:right="360"/>
      <w:rPr>
        <w:rFonts w:ascii="Bauhaus Heavy" w:hAnsi="Bauhaus Heavy"/>
        <w:b/>
        <w:color w:val="C0C0C0"/>
      </w:rPr>
    </w:pPr>
    <w:r>
      <w:rPr>
        <w:rFonts w:ascii="Bauhaus Heavy" w:hAnsi="Bauhaus Heavy"/>
        <w:b/>
        <w:i/>
        <w:color w:val="C0C0C0"/>
        <w:sz w:val="32"/>
      </w:rPr>
      <w:t>МГЛУ</w:t>
    </w:r>
  </w:p>
  <w:p w:rsidR="00227946" w:rsidRDefault="00227946">
    <w:pPr>
      <w:pStyle w:val="a3"/>
    </w:pPr>
  </w:p>
  <w:p w:rsidR="00227946" w:rsidRDefault="0022794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5D92825"/>
    <w:multiLevelType w:val="singleLevel"/>
    <w:tmpl w:val="BC2A0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741A"/>
    <w:rsid w:val="00227946"/>
    <w:rsid w:val="0047741A"/>
    <w:rsid w:val="00C3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CB7018FD-B980-4832-AD8B-F23AD90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Сопоставительный анализ системы глагольных времён в русском и немецком языках</vt:lpstr>
    </vt:vector>
  </TitlesOfParts>
  <Manager>секретарь</Manager>
  <Company>АНКОР-Петербург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Сопоставительный анализ системы глагольных времён в русском и немецком языках</dc:title>
  <dc:subject>реферат</dc:subject>
  <dc:creator>Анна Мануйлова</dc:creator>
  <cp:keywords/>
  <dc:description/>
  <cp:lastModifiedBy>admin</cp:lastModifiedBy>
  <cp:revision>2</cp:revision>
  <cp:lastPrinted>1997-05-07T16:21:00Z</cp:lastPrinted>
  <dcterms:created xsi:type="dcterms:W3CDTF">2014-02-04T07:49:00Z</dcterms:created>
  <dcterms:modified xsi:type="dcterms:W3CDTF">2014-02-04T07:49:00Z</dcterms:modified>
</cp:coreProperties>
</file>